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6E33A" w14:textId="77777777" w:rsidR="00647446" w:rsidRPr="00647446" w:rsidRDefault="003450AC" w:rsidP="007C4E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Privacy Policy</w:t>
      </w:r>
    </w:p>
    <w:p w14:paraId="6396E33B" w14:textId="77777777" w:rsidR="00647446" w:rsidRDefault="00647446" w:rsidP="007C4E1A">
      <w:pPr>
        <w:pStyle w:val="Heading1"/>
        <w:spacing w:before="360"/>
        <w:ind w:left="706" w:hanging="706"/>
      </w:pPr>
      <w:r>
        <w:t xml:space="preserve">Summary </w:t>
      </w:r>
    </w:p>
    <w:p w14:paraId="6396E33C" w14:textId="77777777" w:rsidR="00DF3EFA" w:rsidRDefault="00DE5E97" w:rsidP="003450AC">
      <w:pPr>
        <w:pStyle w:val="BodyText"/>
        <w:ind w:left="0"/>
      </w:pPr>
      <w:r>
        <w:t>T</w:t>
      </w:r>
      <w:r w:rsidR="003450AC">
        <w:t xml:space="preserve">he </w:t>
      </w:r>
      <w:r>
        <w:t xml:space="preserve">confidentiality, </w:t>
      </w:r>
      <w:r w:rsidR="003450AC">
        <w:t xml:space="preserve">collection, storage, disclosing and </w:t>
      </w:r>
      <w:r w:rsidR="00DF3EFA">
        <w:t>transfer/</w:t>
      </w:r>
      <w:r w:rsidR="003450AC">
        <w:t xml:space="preserve">disposal </w:t>
      </w:r>
      <w:r>
        <w:t xml:space="preserve">and protection </w:t>
      </w:r>
      <w:r w:rsidR="003450AC">
        <w:t>of information</w:t>
      </w:r>
      <w:r>
        <w:t xml:space="preserve"> relating to patients and activity of this medical centre is of significant importance requiring clear policy and procedural understanding</w:t>
      </w:r>
      <w:r w:rsidR="00DF3EFA">
        <w:t>.</w:t>
      </w:r>
    </w:p>
    <w:p w14:paraId="6396E33D" w14:textId="77777777" w:rsidR="00F836DE" w:rsidRDefault="003450AC" w:rsidP="003450AC">
      <w:pPr>
        <w:pStyle w:val="BodyText"/>
        <w:ind w:left="0"/>
      </w:pPr>
      <w:r>
        <w:t>Information that is available in the public domain (</w:t>
      </w:r>
      <w:proofErr w:type="spellStart"/>
      <w:r>
        <w:t>eg</w:t>
      </w:r>
      <w:proofErr w:type="spellEnd"/>
      <w:r>
        <w:t xml:space="preserve"> white pages, electoral register) is not deemed to be private and therefore not covered under this policy.</w:t>
      </w:r>
    </w:p>
    <w:p w14:paraId="6396E33E" w14:textId="77777777" w:rsidR="00647446" w:rsidRDefault="00647446" w:rsidP="007C4E1A">
      <w:pPr>
        <w:pStyle w:val="Heading1"/>
        <w:spacing w:before="360"/>
        <w:ind w:left="706" w:hanging="706"/>
      </w:pPr>
      <w:r>
        <w:t>Policy Statement</w:t>
      </w:r>
    </w:p>
    <w:p w14:paraId="6396E33F" w14:textId="77777777" w:rsidR="002F25C9" w:rsidRPr="00775638" w:rsidRDefault="002F25C9" w:rsidP="007C4E1A">
      <w:pPr>
        <w:pStyle w:val="Heading2"/>
      </w:pPr>
      <w:r w:rsidRPr="00775638">
        <w:t>Purpose</w:t>
      </w:r>
    </w:p>
    <w:p w14:paraId="6396E340" w14:textId="77777777" w:rsidR="00DE5E97" w:rsidRDefault="00DE5E97" w:rsidP="00DE5E97">
      <w:pPr>
        <w:pStyle w:val="BodyText"/>
        <w:ind w:left="0"/>
      </w:pPr>
      <w:r>
        <w:t>The needs and rights of patients in respect to personal information will be protected when this policy is adhered to.</w:t>
      </w:r>
    </w:p>
    <w:p w14:paraId="6396E341" w14:textId="47DAEC8D" w:rsidR="002F25C9" w:rsidRDefault="003450AC" w:rsidP="001D38E8">
      <w:pPr>
        <w:pStyle w:val="BodyText"/>
        <w:ind w:left="0"/>
      </w:pPr>
      <w:r w:rsidRPr="003450AC">
        <w:t xml:space="preserve">This policy outlines the </w:t>
      </w:r>
      <w:r w:rsidR="00DF3EFA">
        <w:t>p</w:t>
      </w:r>
      <w:r w:rsidR="001D38E8">
        <w:t>rivacy</w:t>
      </w:r>
      <w:r w:rsidRPr="003450AC">
        <w:t xml:space="preserve"> protocols that will be followed by staff working in this practice</w:t>
      </w:r>
      <w:r w:rsidR="00DF3EFA">
        <w:t xml:space="preserve"> and </w:t>
      </w:r>
      <w:r w:rsidR="001D38E8">
        <w:t xml:space="preserve">complies with the Privacy Act </w:t>
      </w:r>
      <w:r w:rsidR="005F7163">
        <w:t>2000</w:t>
      </w:r>
      <w:r w:rsidR="001D38E8">
        <w:t xml:space="preserve"> and the Health </w:t>
      </w:r>
      <w:r w:rsidR="007A1317">
        <w:t>I</w:t>
      </w:r>
      <w:r w:rsidR="001D38E8">
        <w:t xml:space="preserve">nformation Privacy Code </w:t>
      </w:r>
      <w:r w:rsidR="005F7163">
        <w:t>2000</w:t>
      </w:r>
      <w:r w:rsidR="007A1317">
        <w:t xml:space="preserve"> (HIPC)</w:t>
      </w:r>
      <w:r w:rsidR="001D38E8">
        <w:t>.</w:t>
      </w:r>
      <w:r w:rsidR="007F48E1">
        <w:t xml:space="preserve">  This policy also addresses the requirements of the Foundation Standard supporting the patient experience and equity meeting their needs and rights. </w:t>
      </w:r>
    </w:p>
    <w:p w14:paraId="6396E342" w14:textId="77777777" w:rsidR="00647446" w:rsidRDefault="00647446" w:rsidP="007C4E1A">
      <w:pPr>
        <w:pStyle w:val="Heading2"/>
      </w:pPr>
      <w:r>
        <w:t>Background</w:t>
      </w:r>
    </w:p>
    <w:p w14:paraId="6396E343" w14:textId="77777777" w:rsidR="003450AC" w:rsidRDefault="003450AC" w:rsidP="001D38E8">
      <w:pPr>
        <w:pStyle w:val="BodyText"/>
        <w:ind w:left="0"/>
      </w:pPr>
      <w:r>
        <w:t xml:space="preserve">At the core of the Privacy Act are 12 information privacy principles that set out how agencies may collect, store, use and disclose personal information. </w:t>
      </w:r>
    </w:p>
    <w:p w14:paraId="6396E344" w14:textId="77777777" w:rsidR="003450AC" w:rsidRDefault="003450AC" w:rsidP="00932ABF">
      <w:pPr>
        <w:pStyle w:val="BodyText"/>
        <w:numPr>
          <w:ilvl w:val="0"/>
          <w:numId w:val="47"/>
        </w:numPr>
        <w:ind w:left="709" w:hanging="349"/>
      </w:pPr>
      <w:r>
        <w:t>Principle</w:t>
      </w:r>
      <w:r w:rsidR="00932ABF">
        <w:t>s</w:t>
      </w:r>
      <w:r>
        <w:t xml:space="preserve"> 1,</w:t>
      </w:r>
      <w:r w:rsidR="00932ABF">
        <w:t xml:space="preserve"> 2, 3, &amp; 4</w:t>
      </w:r>
      <w:r>
        <w:t xml:space="preserve"> govern the collection of personal information. This includes the reasons why personal information may be collected, where it may be collected from, and how it is collected.</w:t>
      </w:r>
    </w:p>
    <w:p w14:paraId="6396E345" w14:textId="77777777" w:rsidR="003450AC" w:rsidRDefault="003450AC" w:rsidP="00932ABF">
      <w:pPr>
        <w:pStyle w:val="BodyText"/>
        <w:numPr>
          <w:ilvl w:val="0"/>
          <w:numId w:val="47"/>
        </w:numPr>
        <w:ind w:left="709" w:hanging="349"/>
      </w:pPr>
      <w:r>
        <w:t>Principle 5 governs the way personal information is stored. It is designed to protect personal information from unauthorised use or disclosure.</w:t>
      </w:r>
    </w:p>
    <w:p w14:paraId="6396E346" w14:textId="77777777" w:rsidR="003450AC" w:rsidRDefault="003450AC" w:rsidP="00932ABF">
      <w:pPr>
        <w:pStyle w:val="BodyText"/>
        <w:numPr>
          <w:ilvl w:val="0"/>
          <w:numId w:val="47"/>
        </w:numPr>
        <w:ind w:left="709" w:hanging="349"/>
      </w:pPr>
      <w:r>
        <w:t>Principle</w:t>
      </w:r>
      <w:r w:rsidR="007A1317">
        <w:t>s</w:t>
      </w:r>
      <w:r>
        <w:t xml:space="preserve"> 6</w:t>
      </w:r>
      <w:r w:rsidR="007A1317">
        <w:t xml:space="preserve"> &amp; 7</w:t>
      </w:r>
      <w:r>
        <w:t xml:space="preserve"> give individuals the right to access information about themselves.</w:t>
      </w:r>
    </w:p>
    <w:p w14:paraId="6396E347" w14:textId="4CD4FE05" w:rsidR="003450AC" w:rsidRDefault="003450AC" w:rsidP="00932ABF">
      <w:pPr>
        <w:pStyle w:val="BodyText"/>
        <w:numPr>
          <w:ilvl w:val="0"/>
          <w:numId w:val="47"/>
        </w:numPr>
        <w:ind w:left="709" w:hanging="349"/>
      </w:pPr>
      <w:r>
        <w:t>Principle</w:t>
      </w:r>
      <w:r w:rsidR="007A1317">
        <w:t>s</w:t>
      </w:r>
      <w:r>
        <w:t xml:space="preserve"> 8</w:t>
      </w:r>
      <w:r w:rsidR="007A1317">
        <w:t>,</w:t>
      </w:r>
      <w:r>
        <w:t xml:space="preserve"> 9,</w:t>
      </w:r>
      <w:r w:rsidR="007A1317">
        <w:t xml:space="preserve"> </w:t>
      </w:r>
      <w:r>
        <w:t xml:space="preserve">10 </w:t>
      </w:r>
      <w:r w:rsidR="007A1317">
        <w:t xml:space="preserve">&amp; </w:t>
      </w:r>
      <w:r>
        <w:t>11 place restrictions on how people and organisations can use or disclose personal information. These include ensuring information is accurate and up-to-date, and that it isn't improperly disclosed.</w:t>
      </w:r>
    </w:p>
    <w:p w14:paraId="2221E7FA" w14:textId="6A7CC880" w:rsidR="005F7163" w:rsidRDefault="005F7163" w:rsidP="00932ABF">
      <w:pPr>
        <w:pStyle w:val="BodyText"/>
        <w:numPr>
          <w:ilvl w:val="0"/>
          <w:numId w:val="47"/>
        </w:numPr>
        <w:ind w:left="709" w:hanging="349"/>
      </w:pPr>
      <w:r>
        <w:t>Principle 12 governs d</w:t>
      </w:r>
      <w:r>
        <w:t>isclosure of health information outside New Zealand</w:t>
      </w:r>
    </w:p>
    <w:p w14:paraId="6396E348" w14:textId="5A3F6365" w:rsidR="007A1317" w:rsidRDefault="003450AC" w:rsidP="00932ABF">
      <w:pPr>
        <w:pStyle w:val="BodyText"/>
        <w:numPr>
          <w:ilvl w:val="0"/>
          <w:numId w:val="47"/>
        </w:numPr>
        <w:ind w:left="709" w:hanging="349"/>
      </w:pPr>
      <w:r>
        <w:t>Principle 1</w:t>
      </w:r>
      <w:r w:rsidR="005F7163">
        <w:t>3</w:t>
      </w:r>
      <w:r>
        <w:t xml:space="preserve"> governs how "unique identifiers" - such as IRD numbers, bank client numbers, driver's licence and passport numbers - can be used.</w:t>
      </w:r>
      <w:r w:rsidR="007A1317">
        <w:t xml:space="preserve"> </w:t>
      </w:r>
    </w:p>
    <w:p w14:paraId="6396E349" w14:textId="77777777" w:rsidR="00647446" w:rsidRDefault="00647446" w:rsidP="007C4E1A">
      <w:pPr>
        <w:pStyle w:val="Heading2"/>
      </w:pPr>
      <w:r>
        <w:t>Scope</w:t>
      </w:r>
    </w:p>
    <w:p w14:paraId="6396E34A" w14:textId="77777777" w:rsidR="007A1317" w:rsidRDefault="001D38E8" w:rsidP="007A1317">
      <w:pPr>
        <w:pStyle w:val="BodyText"/>
        <w:tabs>
          <w:tab w:val="center" w:pos="5174"/>
        </w:tabs>
        <w:ind w:left="0"/>
      </w:pPr>
      <w:r w:rsidRPr="001D38E8">
        <w:t xml:space="preserve">This policy applies to all staff </w:t>
      </w:r>
      <w:r w:rsidR="00DF3EFA">
        <w:t xml:space="preserve">engaged </w:t>
      </w:r>
      <w:r w:rsidR="007A1317">
        <w:t>in</w:t>
      </w:r>
      <w:r w:rsidR="00DF3EFA">
        <w:t xml:space="preserve"> any activity carried out at </w:t>
      </w:r>
      <w:r w:rsidRPr="001D38E8">
        <w:t xml:space="preserve">this practice including those not directly employed by the practice </w:t>
      </w:r>
      <w:proofErr w:type="spellStart"/>
      <w:r w:rsidRPr="001D38E8">
        <w:t>eg</w:t>
      </w:r>
      <w:proofErr w:type="spellEnd"/>
      <w:r w:rsidRPr="001D38E8">
        <w:t xml:space="preserve"> Mental Health professionals, laboratory personnel etc.</w:t>
      </w:r>
      <w:r>
        <w:t xml:space="preserve"> </w:t>
      </w:r>
    </w:p>
    <w:p w14:paraId="6396E34B" w14:textId="77777777" w:rsidR="00647446" w:rsidRDefault="00647446" w:rsidP="007C4E1A">
      <w:pPr>
        <w:pStyle w:val="Heading2"/>
      </w:pPr>
      <w:r>
        <w:t>Responsibilities</w:t>
      </w:r>
    </w:p>
    <w:p w14:paraId="6396E34C" w14:textId="77777777" w:rsidR="000B719C" w:rsidRDefault="000B719C" w:rsidP="000B719C">
      <w:pPr>
        <w:pStyle w:val="BodyText"/>
        <w:ind w:left="0"/>
      </w:pPr>
      <w:r>
        <w:t>All staff are responsible for ensuring this policy is followed.</w:t>
      </w:r>
    </w:p>
    <w:p w14:paraId="6396E34D" w14:textId="5FAF6E73" w:rsidR="000B719C" w:rsidRPr="00AE3BE2" w:rsidRDefault="000B719C" w:rsidP="000B719C">
      <w:pPr>
        <w:pStyle w:val="BodyText"/>
        <w:ind w:left="0"/>
      </w:pPr>
      <w:r w:rsidRPr="000B719C">
        <w:t xml:space="preserve">The designated </w:t>
      </w:r>
      <w:r>
        <w:t>privacy</w:t>
      </w:r>
      <w:r w:rsidRPr="000B719C">
        <w:t xml:space="preserve"> officer for </w:t>
      </w:r>
      <w:r w:rsidR="00AE3BE2" w:rsidRPr="00AE3BE2">
        <w:t>Doctors on Riccarton</w:t>
      </w:r>
      <w:r w:rsidR="00E64F7B" w:rsidRPr="00AE3BE2">
        <w:t xml:space="preserve"> </w:t>
      </w:r>
      <w:r w:rsidRPr="00AE3BE2">
        <w:t xml:space="preserve">is </w:t>
      </w:r>
      <w:r w:rsidR="00AE3BE2" w:rsidRPr="00AE3BE2">
        <w:t>Marina Chin</w:t>
      </w:r>
    </w:p>
    <w:p w14:paraId="6396E34E" w14:textId="5B4C568A" w:rsidR="001D38E8" w:rsidRDefault="001D38E8" w:rsidP="001D38E8">
      <w:pPr>
        <w:pStyle w:val="BodyText"/>
        <w:ind w:left="0"/>
      </w:pPr>
      <w:r>
        <w:t xml:space="preserve">The Privacy Officer is responsible for ensuring that the practice and </w:t>
      </w:r>
      <w:r w:rsidR="007A1317">
        <w:t>its entire</w:t>
      </w:r>
      <w:r>
        <w:t xml:space="preserve"> staff comply with</w:t>
      </w:r>
      <w:r w:rsidR="000B719C">
        <w:t xml:space="preserve"> this policy, th</w:t>
      </w:r>
      <w:r w:rsidR="007A1317">
        <w:t>e</w:t>
      </w:r>
      <w:r w:rsidR="000B719C">
        <w:t xml:space="preserve"> </w:t>
      </w:r>
      <w:r w:rsidR="007A1317">
        <w:t>Privacy</w:t>
      </w:r>
      <w:r w:rsidR="000B719C">
        <w:t xml:space="preserve"> Act </w:t>
      </w:r>
      <w:r w:rsidR="005F7163">
        <w:t>2020</w:t>
      </w:r>
      <w:r w:rsidR="000B719C">
        <w:t xml:space="preserve"> and the </w:t>
      </w:r>
      <w:r>
        <w:t>HIPC</w:t>
      </w:r>
      <w:r w:rsidR="005F7163">
        <w:t xml:space="preserve"> 2020</w:t>
      </w:r>
      <w:r w:rsidR="000B719C">
        <w:t>.</w:t>
      </w:r>
    </w:p>
    <w:p w14:paraId="6396E34F" w14:textId="77777777" w:rsidR="001D38E8" w:rsidRDefault="001D38E8" w:rsidP="001D38E8">
      <w:pPr>
        <w:pStyle w:val="BodyText"/>
        <w:ind w:left="0"/>
      </w:pPr>
      <w:r w:rsidRPr="007F48E1">
        <w:lastRenderedPageBreak/>
        <w:t>The Privacy Officer shall ensure that all members of staff have rec</w:t>
      </w:r>
      <w:r w:rsidR="00F22CA0" w:rsidRPr="007F48E1">
        <w:t xml:space="preserve">eived training </w:t>
      </w:r>
      <w:r w:rsidRPr="007F48E1">
        <w:t xml:space="preserve">on the management of </w:t>
      </w:r>
      <w:r w:rsidR="007F48E1" w:rsidRPr="007F48E1">
        <w:t>health information</w:t>
      </w:r>
      <w:r>
        <w:t>.  The Officer will also ensure that all staff who have access to patient information have signed confidentiality agreements</w:t>
      </w:r>
      <w:r w:rsidR="007F48E1">
        <w:t xml:space="preserve"> – see appendix 1</w:t>
      </w:r>
      <w:r>
        <w:t>.</w:t>
      </w:r>
    </w:p>
    <w:p w14:paraId="6396E351" w14:textId="4AD13783" w:rsidR="000B719C" w:rsidRDefault="001D38E8" w:rsidP="001D38E8">
      <w:pPr>
        <w:pStyle w:val="BodyText"/>
        <w:ind w:left="0"/>
      </w:pPr>
      <w:r>
        <w:t>The Privacy Officer will monitor privacy issues</w:t>
      </w:r>
      <w:r w:rsidR="000B719C" w:rsidRPr="000B719C">
        <w:t xml:space="preserve"> </w:t>
      </w:r>
      <w:r w:rsidR="000B719C">
        <w:t xml:space="preserve">and in conjunction with the complaints officer will manage </w:t>
      </w:r>
      <w:r w:rsidR="002D6FA7">
        <w:t xml:space="preserve">privacy </w:t>
      </w:r>
      <w:r w:rsidR="000B719C">
        <w:t>complaints.</w:t>
      </w:r>
    </w:p>
    <w:p w14:paraId="6396E352" w14:textId="77777777" w:rsidR="00647446" w:rsidRDefault="00647446" w:rsidP="007C4E1A">
      <w:pPr>
        <w:pStyle w:val="Heading2"/>
      </w:pPr>
      <w:r>
        <w:t>Definitions &amp; Abbreviations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6912"/>
      </w:tblGrid>
      <w:tr w:rsidR="001467F1" w14:paraId="6396E356" w14:textId="77777777" w:rsidTr="00A858CC">
        <w:tc>
          <w:tcPr>
            <w:tcW w:w="2126" w:type="dxa"/>
            <w:vAlign w:val="center"/>
          </w:tcPr>
          <w:p w14:paraId="6396E353" w14:textId="77777777" w:rsidR="001467F1" w:rsidRDefault="001D38E8" w:rsidP="00A858CC">
            <w:pPr>
              <w:jc w:val="left"/>
            </w:pPr>
            <w:r>
              <w:t>HIPC</w:t>
            </w:r>
          </w:p>
          <w:p w14:paraId="6396E354" w14:textId="77777777" w:rsidR="00A858CC" w:rsidRDefault="00A858CC" w:rsidP="00A858CC">
            <w:pPr>
              <w:jc w:val="left"/>
            </w:pPr>
          </w:p>
        </w:tc>
        <w:tc>
          <w:tcPr>
            <w:tcW w:w="6912" w:type="dxa"/>
          </w:tcPr>
          <w:p w14:paraId="6396E355" w14:textId="0C63C5BD" w:rsidR="001467F1" w:rsidRDefault="001D38E8" w:rsidP="002D6FA7">
            <w:r>
              <w:t xml:space="preserve">Health </w:t>
            </w:r>
            <w:r w:rsidR="002D6FA7">
              <w:t>I</w:t>
            </w:r>
            <w:r>
              <w:t>nformation Privacy Code</w:t>
            </w:r>
            <w:r w:rsidR="002D6FA7">
              <w:t xml:space="preserve"> </w:t>
            </w:r>
            <w:r w:rsidR="008B0AC7">
              <w:t>2020</w:t>
            </w:r>
          </w:p>
        </w:tc>
      </w:tr>
    </w:tbl>
    <w:p w14:paraId="6396E357" w14:textId="77777777" w:rsidR="00647446" w:rsidRDefault="00647446" w:rsidP="007C4E1A">
      <w:pPr>
        <w:pStyle w:val="Heading2"/>
      </w:pPr>
      <w:r>
        <w:tab/>
        <w:t>Related Policies</w:t>
      </w:r>
    </w:p>
    <w:p w14:paraId="6396E358" w14:textId="77777777" w:rsidR="00647446" w:rsidRDefault="001D38E8" w:rsidP="002E7B65">
      <w:pPr>
        <w:pStyle w:val="Bullet1"/>
        <w:ind w:left="360"/>
      </w:pPr>
      <w:r>
        <w:t xml:space="preserve">Implementation of the Code of Health and Disability Service Consumers’ rights </w:t>
      </w:r>
    </w:p>
    <w:p w14:paraId="6396E359" w14:textId="77777777" w:rsidR="001D38E8" w:rsidRDefault="001D38E8" w:rsidP="002E7B65">
      <w:pPr>
        <w:pStyle w:val="Bullet1"/>
        <w:ind w:left="360"/>
      </w:pPr>
      <w:r>
        <w:t>Complaints Policy</w:t>
      </w:r>
    </w:p>
    <w:p w14:paraId="6396E35A" w14:textId="77777777" w:rsidR="00E4372C" w:rsidRDefault="00E4372C" w:rsidP="002E7B65">
      <w:pPr>
        <w:pStyle w:val="Bullet1"/>
        <w:ind w:left="360"/>
      </w:pPr>
      <w:r>
        <w:t>Security of Electronic Health Information Policy</w:t>
      </w:r>
    </w:p>
    <w:p w14:paraId="6396E35B" w14:textId="77777777" w:rsidR="00647446" w:rsidRDefault="0001419B" w:rsidP="007C4E1A">
      <w:pPr>
        <w:pStyle w:val="Heading1"/>
        <w:spacing w:before="360"/>
        <w:ind w:left="706" w:hanging="706"/>
      </w:pPr>
      <w:r>
        <w:t xml:space="preserve">Policy Detail </w:t>
      </w:r>
      <w:r w:rsidR="00F836DE">
        <w:t>AND</w:t>
      </w:r>
      <w:r>
        <w:t xml:space="preserve"> Procedures</w:t>
      </w:r>
    </w:p>
    <w:p w14:paraId="6396E35C" w14:textId="77777777" w:rsidR="00F22CA0" w:rsidRDefault="00F22CA0" w:rsidP="002E7B65">
      <w:pPr>
        <w:pStyle w:val="BodyText"/>
        <w:ind w:left="0"/>
        <w:rPr>
          <w:b/>
        </w:rPr>
      </w:pPr>
      <w:r>
        <w:rPr>
          <w:b/>
        </w:rPr>
        <w:t>Confidentiality</w:t>
      </w:r>
    </w:p>
    <w:p w14:paraId="6396E35D" w14:textId="10C31033" w:rsidR="00F22CA0" w:rsidRDefault="00F22CA0" w:rsidP="002E7B65">
      <w:pPr>
        <w:pStyle w:val="BodyText"/>
        <w:ind w:left="0"/>
      </w:pPr>
      <w:r w:rsidRPr="00F22CA0">
        <w:t xml:space="preserve">All staff </w:t>
      </w:r>
      <w:r>
        <w:t xml:space="preserve">engaged by </w:t>
      </w:r>
      <w:r w:rsidR="00AE3BE2" w:rsidRPr="00AE3BE2">
        <w:t>Doctors on Riccarton</w:t>
      </w:r>
      <w:r w:rsidR="00E64F7B" w:rsidRPr="00AE3BE2">
        <w:t xml:space="preserve"> </w:t>
      </w:r>
      <w:r w:rsidRPr="00AE3BE2">
        <w:t xml:space="preserve">who </w:t>
      </w:r>
      <w:r>
        <w:t>have access to patient information will sign a</w:t>
      </w:r>
      <w:r w:rsidR="00A30634">
        <w:t>n Employment or Contractor’s with a</w:t>
      </w:r>
      <w:r>
        <w:t xml:space="preserve"> confidentiality agreement confirming they have read and understand this policy and the requirements of the Privacy Act and HIPC in respect to personal </w:t>
      </w:r>
      <w:r w:rsidR="00F32ED8">
        <w:t xml:space="preserve">patient </w:t>
      </w:r>
      <w:r>
        <w:t>information</w:t>
      </w:r>
      <w:r w:rsidR="00F32ED8">
        <w:t xml:space="preserve">. </w:t>
      </w:r>
      <w:r w:rsidR="0048513E">
        <w:t xml:space="preserve">See appendix 1 for sample </w:t>
      </w:r>
      <w:r w:rsidR="00DE5E97">
        <w:t>Confidentiality Agreement</w:t>
      </w:r>
      <w:r w:rsidR="0048513E">
        <w:t>.</w:t>
      </w:r>
    </w:p>
    <w:p w14:paraId="6396E35E" w14:textId="77777777" w:rsidR="00F22CA0" w:rsidRPr="00F22CA0" w:rsidRDefault="00F22CA0" w:rsidP="002E7B65">
      <w:pPr>
        <w:pStyle w:val="BodyText"/>
        <w:ind w:left="0"/>
      </w:pPr>
      <w:r w:rsidRPr="00F22CA0">
        <w:t xml:space="preserve"> </w:t>
      </w:r>
      <w:r>
        <w:t xml:space="preserve">       </w:t>
      </w:r>
    </w:p>
    <w:p w14:paraId="6396E35F" w14:textId="77777777" w:rsidR="002E7B65" w:rsidRPr="00A858CC" w:rsidRDefault="002E7B65" w:rsidP="002E7B65">
      <w:pPr>
        <w:pStyle w:val="BodyText"/>
        <w:ind w:left="0"/>
        <w:rPr>
          <w:b/>
        </w:rPr>
      </w:pPr>
      <w:r w:rsidRPr="00A858CC">
        <w:rPr>
          <w:b/>
        </w:rPr>
        <w:t>Collecting Health Information</w:t>
      </w:r>
    </w:p>
    <w:p w14:paraId="6396E360" w14:textId="147B08E4" w:rsidR="002E7B65" w:rsidRDefault="00AE3BE2" w:rsidP="002E7B65">
      <w:pPr>
        <w:pStyle w:val="BodyText"/>
        <w:ind w:left="0"/>
      </w:pPr>
      <w:r w:rsidRPr="00AE3BE2">
        <w:t>Doctors on Riccarton</w:t>
      </w:r>
      <w:r w:rsidR="00E64F7B" w:rsidRPr="00AE3BE2">
        <w:t xml:space="preserve"> </w:t>
      </w:r>
      <w:r w:rsidR="002E7B65">
        <w:t xml:space="preserve">will only collect information that is </w:t>
      </w:r>
      <w:r w:rsidR="002D6FA7">
        <w:t xml:space="preserve">relevant and </w:t>
      </w:r>
      <w:r w:rsidR="002E7B65">
        <w:t>required for the purpose of treating an individual, monitoring quality of care provided or administrative purposes.</w:t>
      </w:r>
    </w:p>
    <w:p w14:paraId="2485B537" w14:textId="77777777" w:rsidR="00BF2D56" w:rsidRDefault="002E7B65" w:rsidP="002E7B65">
      <w:pPr>
        <w:pStyle w:val="BodyText"/>
        <w:ind w:left="0"/>
      </w:pPr>
      <w:r w:rsidRPr="00D74EAA">
        <w:t xml:space="preserve">Wherever possible the information </w:t>
      </w:r>
      <w:r w:rsidR="00662732">
        <w:t>will</w:t>
      </w:r>
      <w:r w:rsidRPr="00D74EAA">
        <w:t xml:space="preserve"> be obtained directly from the </w:t>
      </w:r>
      <w:r w:rsidR="007B568D">
        <w:t>patient. Exceptions include</w:t>
      </w:r>
      <w:r w:rsidR="00BF2D56">
        <w:t>:</w:t>
      </w:r>
    </w:p>
    <w:p w14:paraId="48495144" w14:textId="77777777" w:rsidR="00BF2D56" w:rsidRDefault="00BF2D56" w:rsidP="005F7163">
      <w:pPr>
        <w:pStyle w:val="BodyText"/>
        <w:numPr>
          <w:ilvl w:val="0"/>
          <w:numId w:val="50"/>
        </w:numPr>
        <w:spacing w:before="60" w:after="60"/>
      </w:pPr>
      <w:r>
        <w:t>W</w:t>
      </w:r>
      <w:r w:rsidR="007B568D">
        <w:t>hen</w:t>
      </w:r>
      <w:r w:rsidR="002E7B65" w:rsidRPr="00D74EAA">
        <w:t xml:space="preserve"> someone</w:t>
      </w:r>
      <w:r w:rsidR="007B568D">
        <w:t xml:space="preserve"> else</w:t>
      </w:r>
      <w:r w:rsidR="002E7B65" w:rsidRPr="00D74EAA">
        <w:t xml:space="preserve"> is authorised </w:t>
      </w:r>
      <w:r w:rsidR="00D74EAA" w:rsidRPr="00D74EAA">
        <w:t>to provide the information</w:t>
      </w:r>
      <w:r>
        <w:t>,</w:t>
      </w:r>
      <w:r w:rsidR="007B568D">
        <w:t xml:space="preserve"> </w:t>
      </w:r>
    </w:p>
    <w:p w14:paraId="1116994F" w14:textId="1BAC9E80" w:rsidR="00BF2D56" w:rsidRDefault="007B568D" w:rsidP="005F7163">
      <w:pPr>
        <w:pStyle w:val="BodyText"/>
        <w:numPr>
          <w:ilvl w:val="0"/>
          <w:numId w:val="50"/>
        </w:numPr>
        <w:spacing w:before="60" w:after="60"/>
      </w:pPr>
      <w:r>
        <w:t xml:space="preserve">or </w:t>
      </w:r>
      <w:r w:rsidRPr="007B568D">
        <w:t>w</w:t>
      </w:r>
      <w:r w:rsidR="002E7B65" w:rsidRPr="007B568D">
        <w:t xml:space="preserve">hen the </w:t>
      </w:r>
      <w:r w:rsidRPr="007B568D">
        <w:t>patient is unable to do so</w:t>
      </w:r>
      <w:r w:rsidR="00BF2D56">
        <w:t xml:space="preserve">, or </w:t>
      </w:r>
    </w:p>
    <w:p w14:paraId="41275D20" w14:textId="3FA7528C" w:rsidR="00BF2D56" w:rsidRDefault="00BF2D56" w:rsidP="00BF2D56">
      <w:pPr>
        <w:pStyle w:val="BodyText"/>
        <w:numPr>
          <w:ilvl w:val="0"/>
          <w:numId w:val="50"/>
        </w:numPr>
      </w:pPr>
      <w:r>
        <w:t>where compliance would prejudice the safety of any individual</w:t>
      </w:r>
      <w:r w:rsidR="007B568D" w:rsidRPr="007B568D">
        <w:t>.</w:t>
      </w:r>
    </w:p>
    <w:p w14:paraId="6396E362" w14:textId="77777777" w:rsidR="00F836DE" w:rsidRPr="009573BB" w:rsidRDefault="002E7B65" w:rsidP="002E7B65">
      <w:pPr>
        <w:pStyle w:val="BodyText"/>
        <w:ind w:left="0"/>
      </w:pPr>
      <w:r>
        <w:t xml:space="preserve">Patients </w:t>
      </w:r>
      <w:r w:rsidRPr="00E64F7B">
        <w:t>will be advised</w:t>
      </w:r>
      <w:r w:rsidRPr="00662732">
        <w:rPr>
          <w:color w:val="FF0000"/>
        </w:rPr>
        <w:t xml:space="preserve"> </w:t>
      </w:r>
      <w:r>
        <w:t>that the information is being collected, who will have access to it, why the information is being collected, the consequences of not providing the information and that they have a right to correct the information.  The details for this could be provided orally, in a brochure, letter or poster or could be i</w:t>
      </w:r>
      <w:r w:rsidR="002D6FA7">
        <w:t xml:space="preserve">ncluded </w:t>
      </w:r>
      <w:r w:rsidR="002D6FA7" w:rsidRPr="009573BB">
        <w:t>in the enrolment form.</w:t>
      </w:r>
    </w:p>
    <w:p w14:paraId="6396E363" w14:textId="77777777" w:rsidR="00A858CC" w:rsidRPr="009573BB" w:rsidRDefault="00A858CC" w:rsidP="00A858CC">
      <w:pPr>
        <w:pStyle w:val="BodyText"/>
        <w:ind w:left="0"/>
      </w:pPr>
      <w:r w:rsidRPr="009573BB">
        <w:t>Health information will be stored for at least 10 years after the la</w:t>
      </w:r>
      <w:r w:rsidR="007B568D">
        <w:t xml:space="preserve">st contact with that patient.  </w:t>
      </w:r>
    </w:p>
    <w:p w14:paraId="6396E364" w14:textId="77777777" w:rsidR="00A858CC" w:rsidRDefault="00A858CC" w:rsidP="00A858CC">
      <w:pPr>
        <w:pStyle w:val="BodyText"/>
        <w:ind w:left="0"/>
      </w:pPr>
      <w:r>
        <w:t xml:space="preserve">Steps will be taken to </w:t>
      </w:r>
      <w:r w:rsidR="00662732">
        <w:t>provide</w:t>
      </w:r>
      <w:r>
        <w:t xml:space="preserve"> </w:t>
      </w:r>
      <w:r w:rsidR="002D6FA7">
        <w:t xml:space="preserve">privacy at the reception area </w:t>
      </w:r>
      <w:r w:rsidR="00662732">
        <w:t xml:space="preserve">for times when personal information is </w:t>
      </w:r>
      <w:r w:rsidR="00F22CA0">
        <w:t>collected</w:t>
      </w:r>
      <w:r w:rsidR="00662732">
        <w:t xml:space="preserve">. This </w:t>
      </w:r>
      <w:r w:rsidR="002D6FA7">
        <w:t>may include</w:t>
      </w:r>
      <w:r w:rsidR="00F22CA0">
        <w:t xml:space="preserve"> use of</w:t>
      </w:r>
      <w:r w:rsidR="002D6FA7">
        <w:t xml:space="preserve"> b</w:t>
      </w:r>
      <w:r>
        <w:t xml:space="preserve">ackground music or television in waiting areas </w:t>
      </w:r>
      <w:r w:rsidR="00F22CA0">
        <w:t xml:space="preserve">or a private location to </w:t>
      </w:r>
      <w:r>
        <w:t xml:space="preserve">help protect </w:t>
      </w:r>
      <w:r w:rsidR="002D6FA7">
        <w:t>personal information</w:t>
      </w:r>
      <w:r w:rsidR="00F22CA0">
        <w:t>.</w:t>
      </w:r>
    </w:p>
    <w:p w14:paraId="6396E365" w14:textId="77777777" w:rsidR="00A858CC" w:rsidRDefault="00A858CC" w:rsidP="00A858CC">
      <w:pPr>
        <w:pStyle w:val="BodyText"/>
        <w:ind w:left="0"/>
      </w:pPr>
    </w:p>
    <w:p w14:paraId="6396E366" w14:textId="77777777" w:rsidR="00A858CC" w:rsidRPr="00A858CC" w:rsidRDefault="00A858CC" w:rsidP="00A858CC">
      <w:pPr>
        <w:pStyle w:val="BodyText"/>
        <w:ind w:left="0"/>
        <w:rPr>
          <w:b/>
        </w:rPr>
      </w:pPr>
      <w:r w:rsidRPr="00A858CC">
        <w:rPr>
          <w:b/>
        </w:rPr>
        <w:t>Security of Information</w:t>
      </w:r>
    </w:p>
    <w:p w14:paraId="6396E367" w14:textId="77777777" w:rsidR="00A858CC" w:rsidRDefault="00A858CC" w:rsidP="00A858CC">
      <w:pPr>
        <w:pStyle w:val="BodyText"/>
        <w:ind w:left="0"/>
      </w:pPr>
      <w:r>
        <w:t xml:space="preserve">Health information </w:t>
      </w:r>
      <w:r w:rsidR="009573BB">
        <w:t>will</w:t>
      </w:r>
      <w:r>
        <w:t xml:space="preserve"> be stored securely with safeguards to prevent access by unauthorised people or its loss. </w:t>
      </w:r>
    </w:p>
    <w:p w14:paraId="6396E368" w14:textId="77777777" w:rsidR="00A858CC" w:rsidRDefault="00A858CC" w:rsidP="009573BB">
      <w:pPr>
        <w:pStyle w:val="Bullet1"/>
        <w:ind w:left="360"/>
      </w:pPr>
      <w:r>
        <w:t xml:space="preserve">All computers </w:t>
      </w:r>
      <w:r w:rsidR="009573BB">
        <w:t>will have individual user</w:t>
      </w:r>
      <w:r>
        <w:t xml:space="preserve"> passwords for access</w:t>
      </w:r>
      <w:r w:rsidR="00D57F1C">
        <w:t xml:space="preserve"> to programmes or files containing identifiable personal information or clinical records</w:t>
      </w:r>
    </w:p>
    <w:p w14:paraId="6396E369" w14:textId="3FAA2879" w:rsidR="00A858CC" w:rsidRDefault="009573BB" w:rsidP="009573BB">
      <w:pPr>
        <w:pStyle w:val="Bullet1"/>
        <w:ind w:left="360"/>
      </w:pPr>
      <w:r>
        <w:t>Time</w:t>
      </w:r>
      <w:r w:rsidR="00A858CC">
        <w:t xml:space="preserve"> activated </w:t>
      </w:r>
      <w:r>
        <w:t xml:space="preserve">screen locking will be in place </w:t>
      </w:r>
      <w:r w:rsidR="00A858CC">
        <w:t xml:space="preserve">requiring staff to log on </w:t>
      </w:r>
      <w:r>
        <w:t xml:space="preserve">after </w:t>
      </w:r>
      <w:r w:rsidR="00AE3BE2" w:rsidRPr="00AE3BE2">
        <w:t>15</w:t>
      </w:r>
      <w:r w:rsidRPr="009573BB">
        <w:t xml:space="preserve"> </w:t>
      </w:r>
      <w:r>
        <w:t>minutes of inactivity</w:t>
      </w:r>
    </w:p>
    <w:p w14:paraId="6396E36A" w14:textId="77777777" w:rsidR="00A858CC" w:rsidRDefault="009573BB" w:rsidP="009573BB">
      <w:pPr>
        <w:pStyle w:val="Bullet1"/>
        <w:ind w:left="360"/>
      </w:pPr>
      <w:r>
        <w:lastRenderedPageBreak/>
        <w:t xml:space="preserve">Filing cabinets, </w:t>
      </w:r>
      <w:r w:rsidR="00A858CC">
        <w:t xml:space="preserve">rooms and other areas </w:t>
      </w:r>
      <w:r>
        <w:t xml:space="preserve">used to store personal information will </w:t>
      </w:r>
      <w:r w:rsidR="00A858CC">
        <w:t>be locked when they are unattended</w:t>
      </w:r>
    </w:p>
    <w:p w14:paraId="6396E36B" w14:textId="77777777" w:rsidR="00C47BE5" w:rsidRDefault="00A858CC" w:rsidP="009573BB">
      <w:pPr>
        <w:pStyle w:val="Bullet1"/>
        <w:ind w:left="360"/>
      </w:pPr>
      <w:r>
        <w:t>Back-up of computer systems</w:t>
      </w:r>
      <w:r w:rsidR="009573BB">
        <w:t xml:space="preserve"> will be </w:t>
      </w:r>
      <w:r w:rsidR="00F32ED8">
        <w:t xml:space="preserve">completed each </w:t>
      </w:r>
      <w:r w:rsidR="009573BB">
        <w:t xml:space="preserve">working day with a </w:t>
      </w:r>
      <w:r w:rsidR="00F32ED8">
        <w:t xml:space="preserve">data </w:t>
      </w:r>
      <w:r w:rsidR="009573BB">
        <w:t>copy maintained off site at all times.</w:t>
      </w:r>
      <w:r w:rsidR="00C47BE5" w:rsidRPr="00C47BE5">
        <w:t xml:space="preserve"> </w:t>
      </w:r>
    </w:p>
    <w:p w14:paraId="6396E36C" w14:textId="77777777" w:rsidR="00A858CC" w:rsidRDefault="00C47BE5" w:rsidP="009573BB">
      <w:pPr>
        <w:pStyle w:val="Bullet1"/>
        <w:ind w:left="360"/>
      </w:pPr>
      <w:r>
        <w:t>When required, t</w:t>
      </w:r>
      <w:r w:rsidRPr="009573BB">
        <w:t xml:space="preserve">he </w:t>
      </w:r>
      <w:r>
        <w:t xml:space="preserve">destruction of private information </w:t>
      </w:r>
      <w:r w:rsidRPr="009573BB">
        <w:t xml:space="preserve">will </w:t>
      </w:r>
      <w:r>
        <w:t xml:space="preserve">be in a secure manner such as shredder, burning or by an approved document destruction </w:t>
      </w:r>
      <w:r w:rsidR="008B3E4F">
        <w:t>contractor.</w:t>
      </w:r>
    </w:p>
    <w:p w14:paraId="6396E36D" w14:textId="77777777" w:rsidR="00A858CC" w:rsidRDefault="00A858CC" w:rsidP="00A858CC">
      <w:pPr>
        <w:pStyle w:val="BodyText"/>
      </w:pPr>
    </w:p>
    <w:p w14:paraId="6396E36E" w14:textId="77777777" w:rsidR="00A858CC" w:rsidRPr="00A858CC" w:rsidRDefault="00A858CC" w:rsidP="00A858CC">
      <w:pPr>
        <w:pStyle w:val="BodyText"/>
        <w:ind w:left="0"/>
        <w:rPr>
          <w:b/>
        </w:rPr>
      </w:pPr>
      <w:r w:rsidRPr="00A858CC">
        <w:rPr>
          <w:b/>
        </w:rPr>
        <w:t>Disclosure of Information</w:t>
      </w:r>
    </w:p>
    <w:p w14:paraId="6396E36F" w14:textId="77777777" w:rsidR="00C7504A" w:rsidRPr="008015C8" w:rsidRDefault="008015C8" w:rsidP="00C7504A">
      <w:pPr>
        <w:pStyle w:val="BodyText"/>
        <w:ind w:left="0"/>
      </w:pPr>
      <w:r w:rsidRPr="008015C8">
        <w:t>All</w:t>
      </w:r>
      <w:r w:rsidR="00C7504A" w:rsidRPr="008015C8">
        <w:t xml:space="preserve"> patient</w:t>
      </w:r>
      <w:r w:rsidRPr="008015C8">
        <w:t>s</w:t>
      </w:r>
      <w:r w:rsidR="00C7504A" w:rsidRPr="008015C8">
        <w:t xml:space="preserve"> can access </w:t>
      </w:r>
      <w:r w:rsidRPr="008015C8">
        <w:t xml:space="preserve">and correct </w:t>
      </w:r>
      <w:r>
        <w:t xml:space="preserve">personal </w:t>
      </w:r>
      <w:r w:rsidRPr="008015C8">
        <w:t xml:space="preserve">information held about themselves. This includes former patients where information is being </w:t>
      </w:r>
      <w:r>
        <w:t xml:space="preserve">retained </w:t>
      </w:r>
      <w:r w:rsidRPr="008015C8">
        <w:t xml:space="preserve">under the requirements of the </w:t>
      </w:r>
      <w:r w:rsidRPr="008015C8">
        <w:rPr>
          <w:noProof/>
        </w:rPr>
        <w:t xml:space="preserve">Health (Retention of Health Information) Regulations 1996.  </w:t>
      </w:r>
      <w:r w:rsidR="00C7504A" w:rsidRPr="008015C8">
        <w:t xml:space="preserve">No fee </w:t>
      </w:r>
      <w:r w:rsidRPr="008015C8">
        <w:t>will</w:t>
      </w:r>
      <w:r w:rsidR="00C7504A" w:rsidRPr="008015C8">
        <w:t xml:space="preserve"> be charged for a </w:t>
      </w:r>
      <w:r w:rsidRPr="008015C8">
        <w:t>person</w:t>
      </w:r>
      <w:r w:rsidR="00C7504A" w:rsidRPr="008015C8">
        <w:t xml:space="preserve"> wishing to access their medical information.</w:t>
      </w:r>
    </w:p>
    <w:p w14:paraId="6396E370" w14:textId="77777777" w:rsidR="00C7504A" w:rsidRDefault="00C7504A" w:rsidP="00A858CC">
      <w:pPr>
        <w:pStyle w:val="BodyText"/>
        <w:ind w:left="0"/>
      </w:pPr>
    </w:p>
    <w:p w14:paraId="6396E371" w14:textId="77777777" w:rsidR="00A858CC" w:rsidRDefault="00A858CC" w:rsidP="00A858CC">
      <w:pPr>
        <w:pStyle w:val="BodyText"/>
        <w:ind w:left="0"/>
      </w:pPr>
      <w:r>
        <w:t xml:space="preserve">Health Information </w:t>
      </w:r>
      <w:r w:rsidR="00D57F1C">
        <w:t xml:space="preserve">will </w:t>
      </w:r>
      <w:r>
        <w:t xml:space="preserve">not be disclosed without consent </w:t>
      </w:r>
      <w:r w:rsidR="00D57F1C">
        <w:t xml:space="preserve">of the patient </w:t>
      </w:r>
      <w:r>
        <w:t>unless:</w:t>
      </w:r>
    </w:p>
    <w:p w14:paraId="6396E372" w14:textId="77777777" w:rsidR="00A858CC" w:rsidRDefault="00D57F1C" w:rsidP="00D57F1C">
      <w:pPr>
        <w:pStyle w:val="Bullet1"/>
        <w:ind w:left="360"/>
      </w:pPr>
      <w:r>
        <w:t>i</w:t>
      </w:r>
      <w:r w:rsidR="00A858CC">
        <w:t xml:space="preserve">t is to the individual </w:t>
      </w:r>
      <w:r>
        <w:t xml:space="preserve">patient </w:t>
      </w:r>
      <w:r w:rsidR="00A858CC">
        <w:t xml:space="preserve">concerned (or their </w:t>
      </w:r>
      <w:r>
        <w:t xml:space="preserve">authorised </w:t>
      </w:r>
      <w:r w:rsidR="00A858CC">
        <w:t xml:space="preserve">representative) </w:t>
      </w:r>
    </w:p>
    <w:p w14:paraId="6396E373" w14:textId="77777777" w:rsidR="00A858CC" w:rsidRDefault="00D57F1C" w:rsidP="00D57F1C">
      <w:pPr>
        <w:pStyle w:val="Bullet1"/>
        <w:ind w:left="360"/>
      </w:pPr>
      <w:r>
        <w:t xml:space="preserve">there is </w:t>
      </w:r>
      <w:r w:rsidR="00A858CC">
        <w:t>reasonabl</w:t>
      </w:r>
      <w:r>
        <w:t>e</w:t>
      </w:r>
      <w:r w:rsidR="00A858CC">
        <w:t xml:space="preserve"> belie</w:t>
      </w:r>
      <w:r>
        <w:t>f that</w:t>
      </w:r>
      <w:r w:rsidR="00A858CC">
        <w:t xml:space="preserve"> it is not possible to get such consent and is for the purpose of treatment</w:t>
      </w:r>
    </w:p>
    <w:p w14:paraId="6396E374" w14:textId="77777777" w:rsidR="00A858CC" w:rsidRDefault="00A858CC" w:rsidP="00D57F1C">
      <w:pPr>
        <w:pStyle w:val="Bullet1"/>
        <w:ind w:left="360"/>
      </w:pPr>
      <w:r>
        <w:t>disclosure is one of the reasons for which the information was obtained</w:t>
      </w:r>
    </w:p>
    <w:p w14:paraId="6396E375" w14:textId="77777777" w:rsidR="00A858CC" w:rsidRPr="00C40E6E" w:rsidRDefault="00A858CC" w:rsidP="00D57F1C">
      <w:pPr>
        <w:pStyle w:val="Bullet1"/>
        <w:ind w:left="360"/>
      </w:pPr>
      <w:r w:rsidRPr="00C40E6E">
        <w:t xml:space="preserve">disclosure is required to prevent serious and immediate harm to the individual </w:t>
      </w:r>
    </w:p>
    <w:p w14:paraId="6396E376" w14:textId="77777777" w:rsidR="00A858CC" w:rsidRDefault="00A858CC" w:rsidP="00D57F1C">
      <w:pPr>
        <w:pStyle w:val="Bullet1"/>
        <w:ind w:left="360"/>
      </w:pPr>
      <w:r>
        <w:t>it is to appropriate agencies for suspected child abuse</w:t>
      </w:r>
    </w:p>
    <w:p w14:paraId="6396E377" w14:textId="77777777" w:rsidR="00A858CC" w:rsidRPr="008015C8" w:rsidRDefault="00D57F1C" w:rsidP="00D57F1C">
      <w:pPr>
        <w:pStyle w:val="Bullet1"/>
        <w:ind w:left="360"/>
      </w:pPr>
      <w:r>
        <w:t xml:space="preserve">disclosure is to </w:t>
      </w:r>
      <w:r w:rsidR="00A858CC">
        <w:t xml:space="preserve">the Land Transport Authority when there are serious concerns about an individual’s </w:t>
      </w:r>
      <w:r w:rsidR="00A858CC" w:rsidRPr="008015C8">
        <w:t xml:space="preserve">ability to drive </w:t>
      </w:r>
      <w:r w:rsidRPr="008015C8">
        <w:t>w</w:t>
      </w:r>
      <w:r w:rsidR="00A858CC" w:rsidRPr="008015C8">
        <w:t>ithout endangering themselves or others</w:t>
      </w:r>
    </w:p>
    <w:p w14:paraId="6396E378" w14:textId="77777777" w:rsidR="00A858CC" w:rsidRPr="008015C8" w:rsidRDefault="00A858CC" w:rsidP="00D57F1C">
      <w:pPr>
        <w:pStyle w:val="Bullet1"/>
        <w:ind w:left="360"/>
      </w:pPr>
      <w:r w:rsidRPr="008015C8">
        <w:t>it is for the purposes of a criminal proceeding</w:t>
      </w:r>
    </w:p>
    <w:p w14:paraId="6396E379" w14:textId="77777777" w:rsidR="00A858CC" w:rsidRPr="008015C8" w:rsidRDefault="00A858CC" w:rsidP="00D57F1C">
      <w:pPr>
        <w:pStyle w:val="Bullet1"/>
        <w:ind w:left="360"/>
      </w:pPr>
      <w:r w:rsidRPr="008015C8">
        <w:t>the individual is dependent on or seeking a drug (Misuse of Drugs Act 1975 and section 49a of Medicines Act 1981).  A warning could be displayed in the waiting area advising that information about suspected drug seekers may be disclosed.</w:t>
      </w:r>
    </w:p>
    <w:p w14:paraId="6396E37A" w14:textId="77777777" w:rsidR="00A858CC" w:rsidRDefault="00A858CC" w:rsidP="00A858CC">
      <w:pPr>
        <w:pStyle w:val="BodyText"/>
      </w:pPr>
    </w:p>
    <w:p w14:paraId="6396E37B" w14:textId="77777777" w:rsidR="00A858CC" w:rsidRPr="00A858CC" w:rsidRDefault="00A858CC" w:rsidP="00A858CC">
      <w:pPr>
        <w:pStyle w:val="BodyText"/>
        <w:ind w:left="0"/>
        <w:rPr>
          <w:b/>
        </w:rPr>
      </w:pPr>
      <w:r w:rsidRPr="00A858CC">
        <w:rPr>
          <w:b/>
        </w:rPr>
        <w:t>Transfer of Health Information</w:t>
      </w:r>
    </w:p>
    <w:p w14:paraId="6396E37C" w14:textId="77777777" w:rsidR="00A858CC" w:rsidRDefault="00A858CC" w:rsidP="00A858CC">
      <w:pPr>
        <w:pStyle w:val="BodyText"/>
        <w:ind w:left="0"/>
      </w:pPr>
      <w:r>
        <w:t xml:space="preserve">Medical records and other information will only be transferred to another health provider when a written request has been received.  If </w:t>
      </w:r>
      <w:r w:rsidR="00C47BE5">
        <w:t>an</w:t>
      </w:r>
      <w:r>
        <w:t xml:space="preserve"> individual verbally request</w:t>
      </w:r>
      <w:r w:rsidR="00C47BE5">
        <w:t xml:space="preserve">s </w:t>
      </w:r>
      <w:r>
        <w:t xml:space="preserve">a transfer </w:t>
      </w:r>
      <w:r w:rsidR="00C47BE5">
        <w:t xml:space="preserve">of their records </w:t>
      </w:r>
      <w:r>
        <w:t>they must sign a form to acknowledge the request.  All requests will be scanned into the medical record</w:t>
      </w:r>
      <w:r w:rsidR="00C47BE5">
        <w:t xml:space="preserve"> of that individual</w:t>
      </w:r>
      <w:r>
        <w:t>.</w:t>
      </w:r>
    </w:p>
    <w:p w14:paraId="6396E37D" w14:textId="77777777" w:rsidR="00C47BE5" w:rsidRDefault="00C47BE5" w:rsidP="00A858CC">
      <w:pPr>
        <w:pStyle w:val="BodyText"/>
        <w:ind w:left="0"/>
      </w:pPr>
      <w:r>
        <w:t>The transfer should be completed in no more than 10 working days.</w:t>
      </w:r>
    </w:p>
    <w:p w14:paraId="6396E37E" w14:textId="77777777" w:rsidR="00A858CC" w:rsidRDefault="00C47BE5" w:rsidP="00A858CC">
      <w:pPr>
        <w:pStyle w:val="BodyText"/>
        <w:ind w:left="0"/>
      </w:pPr>
      <w:r>
        <w:t>R</w:t>
      </w:r>
      <w:r w:rsidR="00A858CC">
        <w:t xml:space="preserve">equest </w:t>
      </w:r>
      <w:r>
        <w:t xml:space="preserve">will be discussed </w:t>
      </w:r>
      <w:r w:rsidR="00A858CC">
        <w:t>with the appropriate doctor to ascertain whether copies of paper notes are to be retained</w:t>
      </w:r>
      <w:r>
        <w:t xml:space="preserve"> (noting the requirement to then store the information for up to 10 years)</w:t>
      </w:r>
      <w:r w:rsidR="00A858CC">
        <w:t xml:space="preserve">.  </w:t>
      </w:r>
    </w:p>
    <w:p w14:paraId="6396E37F" w14:textId="3AAA440C" w:rsidR="00A858CC" w:rsidRDefault="00A858CC" w:rsidP="00A858CC">
      <w:pPr>
        <w:pStyle w:val="BodyText"/>
        <w:ind w:left="0"/>
      </w:pPr>
      <w:r>
        <w:t>When medical records are being requested for a new patient, the patient will indicate this on the practice’s enrolment form.</w:t>
      </w:r>
    </w:p>
    <w:p w14:paraId="31014DE9" w14:textId="2AB4E930" w:rsidR="005F7163" w:rsidRDefault="005F7163" w:rsidP="00A858CC">
      <w:pPr>
        <w:pStyle w:val="BodyText"/>
        <w:ind w:left="0"/>
      </w:pPr>
      <w:r>
        <w:t xml:space="preserve">If </w:t>
      </w:r>
      <w:r>
        <w:t xml:space="preserve">personal information </w:t>
      </w:r>
      <w:r>
        <w:t xml:space="preserve">is being </w:t>
      </w:r>
      <w:r>
        <w:t xml:space="preserve">disclosed to foreign persons or entities in reliance on listed disclosure exceptions in information privacy principle 11, </w:t>
      </w:r>
      <w:r>
        <w:t xml:space="preserve">it </w:t>
      </w:r>
      <w:r>
        <w:t>will be subject to comparable safeguards to New Zealand’s privacy laws.</w:t>
      </w:r>
    </w:p>
    <w:p w14:paraId="6396E380" w14:textId="77777777" w:rsidR="00353E8F" w:rsidRPr="00A30634" w:rsidRDefault="00973766" w:rsidP="007C4E1A">
      <w:pPr>
        <w:pStyle w:val="Heading1"/>
        <w:spacing w:before="360"/>
        <w:ind w:left="706" w:hanging="706"/>
      </w:pPr>
      <w:r w:rsidRPr="00A30634">
        <w:t>References</w:t>
      </w:r>
    </w:p>
    <w:p w14:paraId="6396E381" w14:textId="2FE1FA54" w:rsidR="002D6FA7" w:rsidRDefault="00A858CC" w:rsidP="0045149D">
      <w:pPr>
        <w:pStyle w:val="Bullet1"/>
        <w:ind w:left="360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BIBLIOGRAPHY  \l 5129 </w:instrText>
      </w:r>
      <w:r>
        <w:rPr>
          <w:noProof/>
        </w:rPr>
        <w:fldChar w:fldCharType="separate"/>
      </w:r>
      <w:r w:rsidR="002D6FA7" w:rsidRPr="001D38E8">
        <w:rPr>
          <w:noProof/>
        </w:rPr>
        <w:t>Privacy</w:t>
      </w:r>
      <w:r w:rsidR="002D6FA7" w:rsidRPr="001D38E8">
        <w:t xml:space="preserve"> Act </w:t>
      </w:r>
      <w:r w:rsidR="005F7163">
        <w:t>2020</w:t>
      </w:r>
    </w:p>
    <w:p w14:paraId="6396E382" w14:textId="1FE8A262" w:rsidR="00D74EAA" w:rsidRDefault="002D6FA7" w:rsidP="0045149D">
      <w:pPr>
        <w:pStyle w:val="Bullet1"/>
        <w:ind w:left="360"/>
      </w:pPr>
      <w:r w:rsidRPr="001D38E8">
        <w:t xml:space="preserve">Health information Privacy Code </w:t>
      </w:r>
      <w:r w:rsidR="005F7163">
        <w:t>2020</w:t>
      </w:r>
    </w:p>
    <w:p w14:paraId="6396E383" w14:textId="77777777" w:rsidR="002D6FA7" w:rsidRDefault="00D74EAA" w:rsidP="0045149D">
      <w:pPr>
        <w:pStyle w:val="Bullet1"/>
        <w:ind w:left="360"/>
      </w:pPr>
      <w:r>
        <w:rPr>
          <w:noProof/>
        </w:rPr>
        <w:t xml:space="preserve">Privacy Commissioner. (2013). </w:t>
      </w:r>
      <w:r>
        <w:rPr>
          <w:i/>
          <w:iCs/>
          <w:noProof/>
        </w:rPr>
        <w:t>Information Privacy Principles</w:t>
      </w:r>
      <w:r>
        <w:rPr>
          <w:noProof/>
        </w:rPr>
        <w:t>. Retrieved from Privacy Commissioner: http://www.privacy.org.nz</w:t>
      </w:r>
    </w:p>
    <w:p w14:paraId="6396E3A8" w14:textId="7943BB08" w:rsidR="00D56A87" w:rsidRDefault="00D74EAA" w:rsidP="0045149D">
      <w:pPr>
        <w:pStyle w:val="Bullet1"/>
        <w:ind w:left="360"/>
        <w:jc w:val="left"/>
      </w:pPr>
      <w:r w:rsidRPr="009573BB">
        <w:rPr>
          <w:noProof/>
        </w:rPr>
        <w:t>Health (Retention of Health Information) Regulations 1996</w:t>
      </w:r>
      <w:r w:rsidR="00A858CC">
        <w:fldChar w:fldCharType="end"/>
      </w:r>
    </w:p>
    <w:sectPr w:rsidR="00D56A87" w:rsidSect="008B3E4F">
      <w:headerReference w:type="default" r:id="rId11"/>
      <w:footerReference w:type="default" r:id="rId12"/>
      <w:pgSz w:w="11907" w:h="16840"/>
      <w:pgMar w:top="851" w:right="992" w:bottom="851" w:left="1134" w:header="720" w:footer="1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6E3AB" w14:textId="77777777" w:rsidR="00BF2D56" w:rsidRDefault="00BF2D56">
      <w:r>
        <w:separator/>
      </w:r>
    </w:p>
  </w:endnote>
  <w:endnote w:type="continuationSeparator" w:id="0">
    <w:p w14:paraId="6396E3AC" w14:textId="77777777" w:rsidR="00BF2D56" w:rsidRDefault="00BF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6E3B4" w14:textId="77777777" w:rsidR="00BF2D56" w:rsidRPr="00B97929" w:rsidRDefault="00BF2D56" w:rsidP="00610586">
    <w:pPr>
      <w:pStyle w:val="Footer"/>
      <w:pBdr>
        <w:top w:val="none" w:sz="0" w:space="0" w:color="auto"/>
      </w:pBdr>
      <w:rPr>
        <w:rFonts w:cs="Arial"/>
      </w:rPr>
    </w:pPr>
  </w:p>
  <w:p w14:paraId="6396E3B5" w14:textId="77777777" w:rsidR="00BF2D56" w:rsidRPr="00610586" w:rsidRDefault="00BF2D56" w:rsidP="00610586">
    <w:pPr>
      <w:spacing w:after="60"/>
      <w:ind w:left="-284"/>
      <w:rPr>
        <w:i/>
        <w:sz w:val="16"/>
        <w:szCs w:val="16"/>
      </w:rPr>
    </w:pPr>
    <w:r w:rsidRPr="00610586">
      <w:rPr>
        <w:b/>
        <w:i/>
        <w:sz w:val="16"/>
        <w:szCs w:val="16"/>
      </w:rPr>
      <w:t>Note:</w:t>
    </w:r>
    <w:r w:rsidRPr="00610586">
      <w:rPr>
        <w:i/>
        <w:sz w:val="16"/>
        <w:szCs w:val="16"/>
      </w:rPr>
      <w:t xml:space="preserve"> Printing this document may make it obsolete. </w:t>
    </w:r>
    <w:r>
      <w:rPr>
        <w:i/>
        <w:sz w:val="16"/>
        <w:szCs w:val="16"/>
      </w:rPr>
      <w:t>A</w:t>
    </w:r>
    <w:r w:rsidRPr="00610586">
      <w:rPr>
        <w:i/>
        <w:sz w:val="16"/>
        <w:szCs w:val="16"/>
      </w:rPr>
      <w:t xml:space="preserve">lways check the Policy and Procedure </w:t>
    </w:r>
    <w:r>
      <w:rPr>
        <w:i/>
        <w:sz w:val="16"/>
        <w:szCs w:val="16"/>
      </w:rPr>
      <w:t>folder for latest version</w:t>
    </w:r>
    <w:r w:rsidRPr="00610586">
      <w:rPr>
        <w:i/>
        <w:sz w:val="16"/>
        <w:szCs w:val="16"/>
      </w:rPr>
      <w:t>.</w:t>
    </w:r>
  </w:p>
  <w:tbl>
    <w:tblPr>
      <w:tblW w:w="103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77"/>
      <w:gridCol w:w="3008"/>
      <w:gridCol w:w="2029"/>
    </w:tblGrid>
    <w:tr w:rsidR="00BF2D56" w14:paraId="6396E3B9" w14:textId="77777777" w:rsidTr="00D56A87">
      <w:trPr>
        <w:cantSplit/>
        <w:trHeight w:val="227"/>
      </w:trPr>
      <w:tc>
        <w:tcPr>
          <w:tcW w:w="5277" w:type="dxa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396E3B6" w14:textId="5032DFEA" w:rsidR="00BF2D56" w:rsidRPr="00AE3BE2" w:rsidRDefault="00BF2D56" w:rsidP="007E3177">
          <w:pPr>
            <w:pStyle w:val="Footer"/>
            <w:pBdr>
              <w:top w:val="none" w:sz="0" w:space="0" w:color="auto"/>
            </w:pBdr>
            <w:spacing w:before="80" w:after="20"/>
            <w:ind w:right="360"/>
            <w:jc w:val="left"/>
          </w:pPr>
          <w:r w:rsidRPr="00AE3BE2">
            <w:rPr>
              <w:b/>
              <w:bCs/>
              <w:szCs w:val="16"/>
              <w:lang w:val="en-AU"/>
            </w:rPr>
            <w:t xml:space="preserve">Privacy Policy – </w:t>
          </w:r>
          <w:r w:rsidRPr="00AE3BE2">
            <w:t>Doctors on Riccarton</w:t>
          </w:r>
        </w:p>
      </w:tc>
      <w:tc>
        <w:tcPr>
          <w:tcW w:w="3008" w:type="dxa"/>
          <w:tcBorders>
            <w:top w:val="single" w:sz="8" w:space="0" w:color="000000"/>
            <w:left w:val="nil"/>
            <w:bottom w:val="nil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396E3B7" w14:textId="1765905B" w:rsidR="00BF2D56" w:rsidRPr="00AE3BE2" w:rsidRDefault="00BF2D56" w:rsidP="00610586">
          <w:pPr>
            <w:pStyle w:val="Footer"/>
            <w:pBdr>
              <w:top w:val="none" w:sz="0" w:space="0" w:color="auto"/>
            </w:pBdr>
            <w:spacing w:before="80" w:after="20"/>
            <w:ind w:right="357"/>
            <w:jc w:val="left"/>
          </w:pPr>
          <w:r w:rsidRPr="00AE3BE2">
            <w:rPr>
              <w:b/>
              <w:bCs/>
              <w:sz w:val="15"/>
              <w:szCs w:val="15"/>
              <w:lang w:val="en-AU"/>
            </w:rPr>
            <w:t xml:space="preserve">Version 2.0   </w:t>
          </w:r>
          <w:r>
            <w:rPr>
              <w:b/>
              <w:bCs/>
              <w:sz w:val="15"/>
              <w:szCs w:val="15"/>
              <w:lang w:val="en-AU"/>
            </w:rPr>
            <w:t>12</w:t>
          </w:r>
          <w:r w:rsidRPr="00AE3BE2">
            <w:rPr>
              <w:b/>
              <w:bCs/>
              <w:sz w:val="15"/>
              <w:szCs w:val="15"/>
              <w:lang w:val="en-AU"/>
            </w:rPr>
            <w:t>-20</w:t>
          </w:r>
          <w:r>
            <w:rPr>
              <w:b/>
              <w:bCs/>
              <w:sz w:val="15"/>
              <w:szCs w:val="15"/>
              <w:lang w:val="en-AU"/>
            </w:rPr>
            <w:t>20</w:t>
          </w:r>
        </w:p>
      </w:tc>
      <w:tc>
        <w:tcPr>
          <w:tcW w:w="2029" w:type="dxa"/>
          <w:tcBorders>
            <w:top w:val="single" w:sz="8" w:space="0" w:color="000000"/>
            <w:left w:val="nil"/>
            <w:bottom w:val="nil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396E3B8" w14:textId="7C61736E" w:rsidR="00BF2D56" w:rsidRPr="00687077" w:rsidRDefault="00BF2D56" w:rsidP="007A1317">
          <w:pPr>
            <w:pStyle w:val="Footer"/>
            <w:pBdr>
              <w:top w:val="none" w:sz="0" w:space="0" w:color="auto"/>
            </w:pBdr>
            <w:spacing w:before="80" w:after="20"/>
            <w:ind w:left="-63" w:right="357"/>
            <w:jc w:val="left"/>
          </w:pPr>
          <w:r>
            <w:rPr>
              <w:bCs/>
              <w:color w:val="C00000"/>
              <w:sz w:val="15"/>
              <w:szCs w:val="15"/>
              <w:lang w:val="en-AU"/>
            </w:rPr>
            <w:t xml:space="preserve"> </w:t>
          </w:r>
          <w:r w:rsidRPr="00AE3BE2">
            <w:rPr>
              <w:bCs/>
              <w:sz w:val="15"/>
              <w:szCs w:val="15"/>
              <w:lang w:val="en-AU"/>
            </w:rPr>
            <w:t>FS2.2</w:t>
          </w:r>
        </w:p>
      </w:tc>
    </w:tr>
    <w:tr w:rsidR="00BF2D56" w14:paraId="6396E3BD" w14:textId="77777777" w:rsidTr="00D56A87">
      <w:trPr>
        <w:cantSplit/>
        <w:trHeight w:val="227"/>
      </w:trPr>
      <w:tc>
        <w:tcPr>
          <w:tcW w:w="5277" w:type="dxa"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396E3BA" w14:textId="2C2077D6" w:rsidR="00BF2D56" w:rsidRPr="00AE3BE2" w:rsidRDefault="00BF2D56" w:rsidP="00610586">
          <w:pPr>
            <w:pStyle w:val="Footer"/>
            <w:pBdr>
              <w:top w:val="none" w:sz="0" w:space="0" w:color="auto"/>
            </w:pBdr>
            <w:ind w:right="360"/>
            <w:jc w:val="left"/>
          </w:pPr>
          <w:r w:rsidRPr="00AE3BE2">
            <w:rPr>
              <w:b/>
              <w:bCs/>
              <w:sz w:val="15"/>
              <w:szCs w:val="15"/>
              <w:lang w:val="en-AU"/>
            </w:rPr>
            <w:t>Issued by: Marina Chin</w:t>
          </w:r>
        </w:p>
      </w:tc>
      <w:tc>
        <w:tcPr>
          <w:tcW w:w="3008" w:type="dxa"/>
          <w:tcBorders>
            <w:top w:val="nil"/>
            <w:left w:val="nil"/>
            <w:bottom w:val="nil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396E3BB" w14:textId="5DD7C2BA" w:rsidR="00BF2D56" w:rsidRPr="00AE3BE2" w:rsidRDefault="00BF2D56" w:rsidP="00610586">
          <w:pPr>
            <w:pStyle w:val="Footer"/>
            <w:pBdr>
              <w:top w:val="none" w:sz="0" w:space="0" w:color="auto"/>
            </w:pBdr>
            <w:ind w:right="360"/>
            <w:jc w:val="left"/>
          </w:pPr>
          <w:r w:rsidRPr="00AE3BE2">
            <w:rPr>
              <w:b/>
              <w:bCs/>
              <w:sz w:val="15"/>
              <w:szCs w:val="15"/>
              <w:lang w:val="en-AU"/>
            </w:rPr>
            <w:t xml:space="preserve">Issue Date: </w:t>
          </w:r>
          <w:r>
            <w:rPr>
              <w:b/>
              <w:bCs/>
              <w:sz w:val="15"/>
              <w:szCs w:val="15"/>
              <w:lang w:val="en-AU"/>
            </w:rPr>
            <w:t>05-12-2020</w:t>
          </w:r>
        </w:p>
      </w:tc>
      <w:tc>
        <w:tcPr>
          <w:tcW w:w="2029" w:type="dxa"/>
          <w:tcBorders>
            <w:top w:val="nil"/>
            <w:left w:val="nil"/>
            <w:bottom w:val="nil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396E3BC" w14:textId="77777777" w:rsidR="00BF2D56" w:rsidRDefault="00BF2D56" w:rsidP="00610586">
          <w:pPr>
            <w:pStyle w:val="Footer"/>
            <w:pBdr>
              <w:top w:val="none" w:sz="0" w:space="0" w:color="auto"/>
            </w:pBdr>
            <w:ind w:right="-108"/>
            <w:jc w:val="left"/>
          </w:pPr>
          <w:r>
            <w:rPr>
              <w:b/>
              <w:bCs/>
              <w:sz w:val="15"/>
              <w:szCs w:val="15"/>
              <w:lang w:val="en-AU"/>
            </w:rPr>
            <w:t> </w:t>
          </w:r>
        </w:p>
      </w:tc>
    </w:tr>
    <w:tr w:rsidR="00BF2D56" w:rsidRPr="00F836DE" w14:paraId="6396E3C1" w14:textId="77777777" w:rsidTr="00D56A87">
      <w:trPr>
        <w:cantSplit/>
        <w:trHeight w:val="227"/>
      </w:trPr>
      <w:tc>
        <w:tcPr>
          <w:tcW w:w="5277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396E3BE" w14:textId="25E72B82" w:rsidR="00BF2D56" w:rsidRPr="00AE3BE2" w:rsidRDefault="00BF2D56" w:rsidP="00610586">
          <w:pPr>
            <w:pStyle w:val="Footer"/>
            <w:pBdr>
              <w:top w:val="none" w:sz="0" w:space="0" w:color="auto"/>
            </w:pBdr>
            <w:spacing w:before="20" w:after="120"/>
            <w:ind w:right="357"/>
            <w:jc w:val="left"/>
          </w:pPr>
          <w:r w:rsidRPr="00AE3BE2">
            <w:rPr>
              <w:b/>
              <w:bCs/>
              <w:sz w:val="15"/>
              <w:szCs w:val="15"/>
              <w:lang w:val="en-AU"/>
            </w:rPr>
            <w:t>Authorised by: Marina Chin</w:t>
          </w:r>
        </w:p>
      </w:tc>
      <w:tc>
        <w:tcPr>
          <w:tcW w:w="300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396E3BF" w14:textId="5DEBFADA" w:rsidR="00BF2D56" w:rsidRDefault="00BF2D56" w:rsidP="00610586">
          <w:pPr>
            <w:pStyle w:val="Footer"/>
            <w:pBdr>
              <w:top w:val="none" w:sz="0" w:space="0" w:color="auto"/>
            </w:pBdr>
            <w:ind w:right="360"/>
            <w:jc w:val="left"/>
          </w:pPr>
          <w:r w:rsidRPr="003D0680">
            <w:rPr>
              <w:b/>
              <w:bCs/>
              <w:sz w:val="15"/>
              <w:szCs w:val="15"/>
              <w:lang w:val="en-AU"/>
            </w:rPr>
            <w:t xml:space="preserve">Review Date: </w:t>
          </w:r>
          <w:r w:rsidRPr="00AE3BE2">
            <w:rPr>
              <w:b/>
              <w:bCs/>
              <w:sz w:val="15"/>
              <w:szCs w:val="15"/>
              <w:lang w:val="en-AU"/>
            </w:rPr>
            <w:t>05-12-2022</w:t>
          </w:r>
        </w:p>
      </w:tc>
      <w:tc>
        <w:tcPr>
          <w:tcW w:w="2029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396E3C0" w14:textId="77777777" w:rsidR="00BF2D56" w:rsidRPr="00F836DE" w:rsidRDefault="00BF2D56" w:rsidP="00F836DE">
          <w:pPr>
            <w:pStyle w:val="Footer"/>
            <w:ind w:right="360"/>
            <w:jc w:val="left"/>
            <w:rPr>
              <w:b/>
              <w:bCs/>
              <w:sz w:val="15"/>
              <w:szCs w:val="15"/>
              <w:lang w:val="en-AU"/>
            </w:rPr>
          </w:pPr>
          <w:sdt>
            <w:sdtPr>
              <w:rPr>
                <w:b/>
                <w:bCs/>
                <w:sz w:val="15"/>
                <w:szCs w:val="15"/>
                <w:lang w:val="en-AU"/>
              </w:rPr>
              <w:id w:val="860082579"/>
              <w:docPartObj>
                <w:docPartGallery w:val="Page Numbers (Top of Page)"/>
                <w:docPartUnique/>
              </w:docPartObj>
            </w:sdtPr>
            <w:sdtContent>
              <w:r w:rsidRPr="00F836DE">
                <w:rPr>
                  <w:b/>
                  <w:bCs/>
                  <w:sz w:val="15"/>
                  <w:szCs w:val="15"/>
                  <w:lang w:val="en-AU"/>
                </w:rPr>
                <w:t xml:space="preserve">Page </w:t>
              </w:r>
              <w:r w:rsidRPr="00F836DE">
                <w:rPr>
                  <w:b/>
                  <w:bCs/>
                  <w:sz w:val="15"/>
                  <w:szCs w:val="15"/>
                  <w:lang w:val="en-AU"/>
                </w:rPr>
                <w:fldChar w:fldCharType="begin"/>
              </w:r>
              <w:r w:rsidRPr="00F836DE">
                <w:rPr>
                  <w:b/>
                  <w:bCs/>
                  <w:sz w:val="15"/>
                  <w:szCs w:val="15"/>
                  <w:lang w:val="en-AU"/>
                </w:rPr>
                <w:instrText xml:space="preserve"> PAGE </w:instrText>
              </w:r>
              <w:r w:rsidRPr="00F836DE">
                <w:rPr>
                  <w:b/>
                  <w:bCs/>
                  <w:sz w:val="15"/>
                  <w:szCs w:val="15"/>
                  <w:lang w:val="en-AU"/>
                </w:rPr>
                <w:fldChar w:fldCharType="separate"/>
              </w:r>
              <w:r>
                <w:rPr>
                  <w:b/>
                  <w:bCs/>
                  <w:noProof/>
                  <w:sz w:val="15"/>
                  <w:szCs w:val="15"/>
                  <w:lang w:val="en-AU"/>
                </w:rPr>
                <w:t>4</w:t>
              </w:r>
              <w:r w:rsidRPr="00F836DE">
                <w:rPr>
                  <w:b/>
                  <w:bCs/>
                  <w:sz w:val="15"/>
                  <w:szCs w:val="15"/>
                  <w:lang w:val="en-AU"/>
                </w:rPr>
                <w:fldChar w:fldCharType="end"/>
              </w:r>
              <w:r w:rsidRPr="00F836DE">
                <w:rPr>
                  <w:b/>
                  <w:bCs/>
                  <w:sz w:val="15"/>
                  <w:szCs w:val="15"/>
                  <w:lang w:val="en-AU"/>
                </w:rPr>
                <w:t xml:space="preserve"> of </w:t>
              </w:r>
              <w:r w:rsidRPr="00F836DE">
                <w:rPr>
                  <w:b/>
                  <w:bCs/>
                  <w:sz w:val="15"/>
                  <w:szCs w:val="15"/>
                  <w:lang w:val="en-AU"/>
                </w:rPr>
                <w:fldChar w:fldCharType="begin"/>
              </w:r>
              <w:r w:rsidRPr="00F836DE">
                <w:rPr>
                  <w:b/>
                  <w:bCs/>
                  <w:sz w:val="15"/>
                  <w:szCs w:val="15"/>
                  <w:lang w:val="en-AU"/>
                </w:rPr>
                <w:instrText xml:space="preserve"> NUMPAGES  </w:instrText>
              </w:r>
              <w:r w:rsidRPr="00F836DE">
                <w:rPr>
                  <w:b/>
                  <w:bCs/>
                  <w:sz w:val="15"/>
                  <w:szCs w:val="15"/>
                  <w:lang w:val="en-AU"/>
                </w:rPr>
                <w:fldChar w:fldCharType="separate"/>
              </w:r>
              <w:r>
                <w:rPr>
                  <w:b/>
                  <w:bCs/>
                  <w:noProof/>
                  <w:sz w:val="15"/>
                  <w:szCs w:val="15"/>
                  <w:lang w:val="en-AU"/>
                </w:rPr>
                <w:t>4</w:t>
              </w:r>
              <w:r w:rsidRPr="00F836DE">
                <w:rPr>
                  <w:b/>
                  <w:bCs/>
                  <w:sz w:val="15"/>
                  <w:szCs w:val="15"/>
                  <w:lang w:val="en-AU"/>
                </w:rPr>
                <w:fldChar w:fldCharType="end"/>
              </w:r>
            </w:sdtContent>
          </w:sdt>
        </w:p>
      </w:tc>
    </w:tr>
  </w:tbl>
  <w:p w14:paraId="6396E3C2" w14:textId="77777777" w:rsidR="00BF2D56" w:rsidRDefault="00BF2D56" w:rsidP="00610586">
    <w:pPr>
      <w:pStyle w:val="Footer"/>
      <w:pBdr>
        <w:top w:val="none" w:sz="0" w:space="0" w:color="auto"/>
      </w:pBdr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6E3A9" w14:textId="77777777" w:rsidR="00BF2D56" w:rsidRDefault="00BF2D56">
      <w:r>
        <w:separator/>
      </w:r>
    </w:p>
  </w:footnote>
  <w:footnote w:type="continuationSeparator" w:id="0">
    <w:p w14:paraId="6396E3AA" w14:textId="77777777" w:rsidR="00BF2D56" w:rsidRDefault="00BF2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18" w:type="dxa"/>
      <w:tblBorders>
        <w:top w:val="dotted" w:sz="2" w:space="0" w:color="auto"/>
        <w:left w:val="dotted" w:sz="2" w:space="0" w:color="auto"/>
        <w:bottom w:val="dotted" w:sz="2" w:space="0" w:color="auto"/>
        <w:right w:val="dotted" w:sz="2" w:space="0" w:color="auto"/>
        <w:insideH w:val="dotted" w:sz="2" w:space="0" w:color="auto"/>
        <w:insideV w:val="dotted" w:sz="2" w:space="0" w:color="auto"/>
      </w:tblBorders>
      <w:tblLook w:val="04A0" w:firstRow="1" w:lastRow="0" w:firstColumn="1" w:lastColumn="0" w:noHBand="0" w:noVBand="1"/>
    </w:tblPr>
    <w:tblGrid>
      <w:gridCol w:w="9918"/>
    </w:tblGrid>
    <w:tr w:rsidR="00BF2D56" w14:paraId="6396E3B2" w14:textId="77777777" w:rsidTr="00820352">
      <w:trPr>
        <w:trHeight w:val="805"/>
      </w:trPr>
      <w:tc>
        <w:tcPr>
          <w:tcW w:w="9918" w:type="dxa"/>
          <w:shd w:val="clear" w:color="auto" w:fill="auto"/>
          <w:vAlign w:val="bottom"/>
        </w:tcPr>
        <w:p w14:paraId="6396E3B0" w14:textId="5C5B459E" w:rsidR="00BF2D56" w:rsidRPr="00AE3BE2" w:rsidRDefault="00BF2D56" w:rsidP="00AE3BE2">
          <w:pPr>
            <w:spacing w:before="240" w:after="240"/>
            <w:ind w:left="994"/>
            <w:jc w:val="left"/>
            <w:rPr>
              <w:b/>
              <w:sz w:val="32"/>
              <w:szCs w:val="32"/>
            </w:rPr>
          </w:pPr>
          <w:r w:rsidRPr="00AE3BE2">
            <w:rPr>
              <w:b/>
              <w:noProof/>
              <w:sz w:val="32"/>
              <w:szCs w:val="32"/>
            </w:rPr>
            <w:drawing>
              <wp:anchor distT="0" distB="0" distL="114300" distR="114300" simplePos="0" relativeHeight="251658752" behindDoc="1" locked="0" layoutInCell="1" allowOverlap="1" wp14:anchorId="348AB90F" wp14:editId="6EBF2E3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512064" cy="53949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53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E3BE2">
            <w:rPr>
              <w:b/>
              <w:sz w:val="32"/>
              <w:szCs w:val="32"/>
            </w:rPr>
            <w:t>Doctors on Riccarton</w:t>
          </w:r>
        </w:p>
      </w:tc>
    </w:tr>
  </w:tbl>
  <w:p w14:paraId="6396E3B3" w14:textId="77777777" w:rsidR="00BF2D56" w:rsidRDefault="00BF2D56" w:rsidP="00F435C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760C0E14"/>
    <w:lvl w:ilvl="0">
      <w:numFmt w:val="decimal"/>
      <w:lvlText w:val="*"/>
      <w:lvlJc w:val="left"/>
    </w:lvl>
  </w:abstractNum>
  <w:abstractNum w:abstractNumId="2" w15:restartNumberingAfterBreak="0">
    <w:nsid w:val="014144D3"/>
    <w:multiLevelType w:val="hybridMultilevel"/>
    <w:tmpl w:val="20A60A34"/>
    <w:lvl w:ilvl="0" w:tplc="7AE886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4799C"/>
    <w:multiLevelType w:val="hybridMultilevel"/>
    <w:tmpl w:val="8E143F5C"/>
    <w:lvl w:ilvl="0" w:tplc="31B0BA30"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682845A6">
      <w:start w:val="1"/>
      <w:numFmt w:val="bullet"/>
      <w:lvlText w:val=""/>
      <w:lvlJc w:val="left"/>
      <w:pPr>
        <w:tabs>
          <w:tab w:val="num" w:pos="1724"/>
        </w:tabs>
        <w:ind w:left="1724" w:hanging="284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AC2957"/>
    <w:multiLevelType w:val="hybridMultilevel"/>
    <w:tmpl w:val="3BB86984"/>
    <w:lvl w:ilvl="0" w:tplc="890AB8D6">
      <w:start w:val="1"/>
      <w:numFmt w:val="bullet"/>
      <w:lvlText w:val=""/>
      <w:lvlJc w:val="left"/>
      <w:pPr>
        <w:tabs>
          <w:tab w:val="num" w:pos="1145"/>
        </w:tabs>
        <w:ind w:left="1145" w:hanging="425"/>
      </w:pPr>
      <w:rPr>
        <w:rFonts w:ascii="Wingdings" w:hAnsi="Wingdings" w:hint="default"/>
        <w:caps w:val="0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AF65D3"/>
    <w:multiLevelType w:val="hybridMultilevel"/>
    <w:tmpl w:val="142EAE7A"/>
    <w:lvl w:ilvl="0" w:tplc="682845A6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sz w:val="16"/>
        <w:szCs w:val="16"/>
      </w:rPr>
    </w:lvl>
    <w:lvl w:ilvl="1" w:tplc="682845A6">
      <w:start w:val="1"/>
      <w:numFmt w:val="bullet"/>
      <w:lvlText w:val=""/>
      <w:lvlJc w:val="left"/>
      <w:pPr>
        <w:tabs>
          <w:tab w:val="num" w:pos="1724"/>
        </w:tabs>
        <w:ind w:left="1724" w:hanging="284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034B72"/>
    <w:multiLevelType w:val="hybridMultilevel"/>
    <w:tmpl w:val="42AE624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B4107"/>
    <w:multiLevelType w:val="multilevel"/>
    <w:tmpl w:val="21365EEA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971"/>
        </w:tabs>
        <w:ind w:left="4971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5AA507D"/>
    <w:multiLevelType w:val="hybridMultilevel"/>
    <w:tmpl w:val="36F60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766E09"/>
    <w:multiLevelType w:val="multilevel"/>
    <w:tmpl w:val="8E143F5C"/>
    <w:lvl w:ilvl="0"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 w:hint="default"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1724"/>
        </w:tabs>
        <w:ind w:left="1724" w:hanging="284"/>
      </w:pPr>
      <w:rPr>
        <w:rFonts w:ascii="Wingdings" w:hAnsi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4B10FB"/>
    <w:multiLevelType w:val="hybridMultilevel"/>
    <w:tmpl w:val="63B81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750B7B"/>
    <w:multiLevelType w:val="hybridMultilevel"/>
    <w:tmpl w:val="71BA8960"/>
    <w:lvl w:ilvl="0" w:tplc="EAE8887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E33A3A"/>
    <w:multiLevelType w:val="hybridMultilevel"/>
    <w:tmpl w:val="E42CF2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0570B"/>
    <w:multiLevelType w:val="hybridMultilevel"/>
    <w:tmpl w:val="C5EA369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4E6835"/>
    <w:multiLevelType w:val="multilevel"/>
    <w:tmpl w:val="F16A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295D99"/>
    <w:multiLevelType w:val="singleLevel"/>
    <w:tmpl w:val="1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z w:val="18"/>
      </w:rPr>
    </w:lvl>
  </w:abstractNum>
  <w:abstractNum w:abstractNumId="16" w15:restartNumberingAfterBreak="0">
    <w:nsid w:val="33E043BA"/>
    <w:multiLevelType w:val="hybridMultilevel"/>
    <w:tmpl w:val="F9143D5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72186"/>
    <w:multiLevelType w:val="hybridMultilevel"/>
    <w:tmpl w:val="8DA22A72"/>
    <w:lvl w:ilvl="0" w:tplc="890AB8D6">
      <w:start w:val="1"/>
      <w:numFmt w:val="bullet"/>
      <w:lvlText w:val=""/>
      <w:lvlJc w:val="left"/>
      <w:pPr>
        <w:tabs>
          <w:tab w:val="num" w:pos="1145"/>
        </w:tabs>
        <w:ind w:left="1145" w:hanging="425"/>
      </w:pPr>
      <w:rPr>
        <w:rFonts w:ascii="Wingdings" w:hAnsi="Wingdings" w:hint="default"/>
        <w:caps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850088"/>
    <w:multiLevelType w:val="hybridMultilevel"/>
    <w:tmpl w:val="246E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2106A"/>
    <w:multiLevelType w:val="hybridMultilevel"/>
    <w:tmpl w:val="E5B2A260"/>
    <w:lvl w:ilvl="0" w:tplc="EAE8887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BF3122"/>
    <w:multiLevelType w:val="hybridMultilevel"/>
    <w:tmpl w:val="47B6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91B89"/>
    <w:multiLevelType w:val="hybridMultilevel"/>
    <w:tmpl w:val="FBD85286"/>
    <w:lvl w:ilvl="0" w:tplc="CE4029CA">
      <w:start w:val="1"/>
      <w:numFmt w:val="bullet"/>
      <w:pStyle w:val="Bullet2"/>
      <w:lvlText w:val=""/>
      <w:lvlJc w:val="left"/>
      <w:pPr>
        <w:tabs>
          <w:tab w:val="num" w:pos="2628"/>
        </w:tabs>
        <w:ind w:left="2552" w:hanging="28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51A403D"/>
    <w:multiLevelType w:val="hybridMultilevel"/>
    <w:tmpl w:val="50EE39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1E42B1"/>
    <w:multiLevelType w:val="hybridMultilevel"/>
    <w:tmpl w:val="0B50823C"/>
    <w:lvl w:ilvl="0" w:tplc="A1442F16">
      <w:start w:val="1"/>
      <w:numFmt w:val="bullet"/>
      <w:pStyle w:val="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F83847"/>
    <w:multiLevelType w:val="hybridMultilevel"/>
    <w:tmpl w:val="6180F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614D2"/>
    <w:multiLevelType w:val="hybridMultilevel"/>
    <w:tmpl w:val="CC349FFA"/>
    <w:lvl w:ilvl="0" w:tplc="682845A6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5B1C1695"/>
    <w:multiLevelType w:val="multilevel"/>
    <w:tmpl w:val="71BA896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330559"/>
    <w:multiLevelType w:val="hybridMultilevel"/>
    <w:tmpl w:val="D16C9460"/>
    <w:lvl w:ilvl="0" w:tplc="D52468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50A07C">
      <w:start w:val="1"/>
      <w:numFmt w:val="lowerRoman"/>
      <w:lvlText w:val="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EC5A7B"/>
    <w:multiLevelType w:val="hybridMultilevel"/>
    <w:tmpl w:val="62BE869C"/>
    <w:lvl w:ilvl="0" w:tplc="890AB8D6">
      <w:start w:val="1"/>
      <w:numFmt w:val="bullet"/>
      <w:lvlText w:val=""/>
      <w:lvlJc w:val="left"/>
      <w:pPr>
        <w:tabs>
          <w:tab w:val="num" w:pos="1145"/>
        </w:tabs>
        <w:ind w:left="1145" w:hanging="425"/>
      </w:pPr>
      <w:rPr>
        <w:rFonts w:ascii="Wingdings" w:hAnsi="Wingdings" w:hint="default"/>
        <w:caps w:val="0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655B28"/>
    <w:multiLevelType w:val="hybridMultilevel"/>
    <w:tmpl w:val="9708A1A4"/>
    <w:lvl w:ilvl="0" w:tplc="682845A6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1E5A8D"/>
    <w:multiLevelType w:val="hybridMultilevel"/>
    <w:tmpl w:val="0A780500"/>
    <w:lvl w:ilvl="0" w:tplc="890AB8D6">
      <w:start w:val="1"/>
      <w:numFmt w:val="bullet"/>
      <w:lvlText w:val=""/>
      <w:lvlJc w:val="left"/>
      <w:pPr>
        <w:tabs>
          <w:tab w:val="num" w:pos="1145"/>
        </w:tabs>
        <w:ind w:left="1145" w:hanging="425"/>
      </w:pPr>
      <w:rPr>
        <w:rFonts w:ascii="Wingdings" w:hAnsi="Wingdings" w:hint="default"/>
        <w:caps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D33BA4"/>
    <w:multiLevelType w:val="hybridMultilevel"/>
    <w:tmpl w:val="5C661336"/>
    <w:lvl w:ilvl="0" w:tplc="786406D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ap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F313E"/>
    <w:multiLevelType w:val="hybridMultilevel"/>
    <w:tmpl w:val="8334FB66"/>
    <w:lvl w:ilvl="0" w:tplc="DBAE5584">
      <w:start w:val="1"/>
      <w:numFmt w:val="bullet"/>
      <w:lvlText w:val=""/>
      <w:lvlJc w:val="left"/>
      <w:pPr>
        <w:tabs>
          <w:tab w:val="num" w:pos="1069"/>
        </w:tabs>
        <w:ind w:left="284" w:firstLine="425"/>
      </w:pPr>
      <w:rPr>
        <w:rFonts w:ascii="Wingdings" w:hAnsi="Wingdings" w:hint="default"/>
        <w:sz w:val="1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B756E"/>
    <w:multiLevelType w:val="hybridMultilevel"/>
    <w:tmpl w:val="8334FB66"/>
    <w:lvl w:ilvl="0" w:tplc="1DB2B7D4">
      <w:start w:val="1"/>
      <w:numFmt w:val="bullet"/>
      <w:lvlText w:val=""/>
      <w:lvlJc w:val="left"/>
      <w:pPr>
        <w:tabs>
          <w:tab w:val="num" w:pos="1494"/>
        </w:tabs>
        <w:ind w:left="284" w:firstLine="850"/>
      </w:pPr>
      <w:rPr>
        <w:rFonts w:ascii="Symbol" w:hAnsi="Symbol" w:hint="default"/>
        <w:sz w:val="1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83C84"/>
    <w:multiLevelType w:val="multilevel"/>
    <w:tmpl w:val="5C8A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CA43F3"/>
    <w:multiLevelType w:val="hybridMultilevel"/>
    <w:tmpl w:val="F16A0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751D7F"/>
    <w:multiLevelType w:val="hybridMultilevel"/>
    <w:tmpl w:val="1B62DE7E"/>
    <w:lvl w:ilvl="0" w:tplc="7818C64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5503B"/>
    <w:multiLevelType w:val="hybridMultilevel"/>
    <w:tmpl w:val="5C8AA06E"/>
    <w:lvl w:ilvl="0" w:tplc="040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1134" w:hanging="425"/>
        </w:pPr>
        <w:rPr>
          <w:rFonts w:ascii="Symbol" w:hAnsi="Symbol" w:hint="default"/>
          <w:sz w:val="16"/>
        </w:rPr>
      </w:lvl>
    </w:lvlOverride>
  </w:num>
  <w:num w:numId="3">
    <w:abstractNumId w:val="37"/>
  </w:num>
  <w:num w:numId="4">
    <w:abstractNumId w:val="31"/>
  </w:num>
  <w:num w:numId="5">
    <w:abstractNumId w:val="19"/>
  </w:num>
  <w:num w:numId="6">
    <w:abstractNumId w:val="11"/>
  </w:num>
  <w:num w:numId="7">
    <w:abstractNumId w:val="26"/>
  </w:num>
  <w:num w:numId="8">
    <w:abstractNumId w:val="3"/>
  </w:num>
  <w:num w:numId="9">
    <w:abstractNumId w:val="9"/>
  </w:num>
  <w:num w:numId="10">
    <w:abstractNumId w:val="5"/>
  </w:num>
  <w:num w:numId="11">
    <w:abstractNumId w:val="25"/>
  </w:num>
  <w:num w:numId="12">
    <w:abstractNumId w:val="29"/>
  </w:num>
  <w:num w:numId="13">
    <w:abstractNumId w:val="30"/>
  </w:num>
  <w:num w:numId="14">
    <w:abstractNumId w:val="17"/>
  </w:num>
  <w:num w:numId="15">
    <w:abstractNumId w:val="28"/>
  </w:num>
  <w:num w:numId="16">
    <w:abstractNumId w:val="34"/>
  </w:num>
  <w:num w:numId="17">
    <w:abstractNumId w:val="4"/>
  </w:num>
  <w:num w:numId="18">
    <w:abstractNumId w:val="15"/>
  </w:num>
  <w:num w:numId="19">
    <w:abstractNumId w:val="27"/>
  </w:num>
  <w:num w:numId="20">
    <w:abstractNumId w:val="7"/>
  </w:num>
  <w:num w:numId="21">
    <w:abstractNumId w:val="21"/>
  </w:num>
  <w:num w:numId="22">
    <w:abstractNumId w:val="10"/>
  </w:num>
  <w:num w:numId="23">
    <w:abstractNumId w:val="32"/>
  </w:num>
  <w:num w:numId="24">
    <w:abstractNumId w:val="33"/>
  </w:num>
  <w:num w:numId="25">
    <w:abstractNumId w:val="8"/>
  </w:num>
  <w:num w:numId="26">
    <w:abstractNumId w:val="24"/>
  </w:num>
  <w:num w:numId="27">
    <w:abstractNumId w:val="35"/>
  </w:num>
  <w:num w:numId="28">
    <w:abstractNumId w:val="14"/>
  </w:num>
  <w:num w:numId="29">
    <w:abstractNumId w:val="2"/>
  </w:num>
  <w:num w:numId="30">
    <w:abstractNumId w:val="6"/>
  </w:num>
  <w:num w:numId="31">
    <w:abstractNumId w:val="13"/>
  </w:num>
  <w:num w:numId="32">
    <w:abstractNumId w:val="7"/>
  </w:num>
  <w:num w:numId="33">
    <w:abstractNumId w:val="7"/>
  </w:num>
  <w:num w:numId="34">
    <w:abstractNumId w:val="7"/>
  </w:num>
  <w:num w:numId="35">
    <w:abstractNumId w:val="15"/>
  </w:num>
  <w:num w:numId="36">
    <w:abstractNumId w:val="15"/>
  </w:num>
  <w:num w:numId="37">
    <w:abstractNumId w:val="15"/>
  </w:num>
  <w:num w:numId="38">
    <w:abstractNumId w:val="16"/>
  </w:num>
  <w:num w:numId="39">
    <w:abstractNumId w:val="15"/>
  </w:num>
  <w:num w:numId="40">
    <w:abstractNumId w:val="23"/>
  </w:num>
  <w:num w:numId="41">
    <w:abstractNumId w:val="22"/>
  </w:num>
  <w:num w:numId="42">
    <w:abstractNumId w:val="23"/>
  </w:num>
  <w:num w:numId="43">
    <w:abstractNumId w:val="23"/>
  </w:num>
  <w:num w:numId="44">
    <w:abstractNumId w:val="23"/>
  </w:num>
  <w:num w:numId="45">
    <w:abstractNumId w:val="23"/>
  </w:num>
  <w:num w:numId="46">
    <w:abstractNumId w:val="12"/>
  </w:num>
  <w:num w:numId="47">
    <w:abstractNumId w:val="36"/>
  </w:num>
  <w:num w:numId="48">
    <w:abstractNumId w:val="7"/>
  </w:num>
  <w:num w:numId="49">
    <w:abstractNumId w:val="18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AC"/>
    <w:rsid w:val="0001419B"/>
    <w:rsid w:val="0001621F"/>
    <w:rsid w:val="00023C06"/>
    <w:rsid w:val="000708C7"/>
    <w:rsid w:val="00071EB5"/>
    <w:rsid w:val="00080EA6"/>
    <w:rsid w:val="00096EBD"/>
    <w:rsid w:val="000A2519"/>
    <w:rsid w:val="000B719C"/>
    <w:rsid w:val="000E24C5"/>
    <w:rsid w:val="00122AC1"/>
    <w:rsid w:val="001274DE"/>
    <w:rsid w:val="00142B98"/>
    <w:rsid w:val="001467F1"/>
    <w:rsid w:val="00160345"/>
    <w:rsid w:val="00173623"/>
    <w:rsid w:val="00180E17"/>
    <w:rsid w:val="00181838"/>
    <w:rsid w:val="00185CAD"/>
    <w:rsid w:val="001949CD"/>
    <w:rsid w:val="001A7613"/>
    <w:rsid w:val="001C7863"/>
    <w:rsid w:val="001D38E8"/>
    <w:rsid w:val="00212CE4"/>
    <w:rsid w:val="002269B7"/>
    <w:rsid w:val="0024292D"/>
    <w:rsid w:val="00244D42"/>
    <w:rsid w:val="0027796C"/>
    <w:rsid w:val="00290A39"/>
    <w:rsid w:val="002B7998"/>
    <w:rsid w:val="002C7B22"/>
    <w:rsid w:val="002D6FA7"/>
    <w:rsid w:val="002E07B4"/>
    <w:rsid w:val="002E089C"/>
    <w:rsid w:val="002E7B65"/>
    <w:rsid w:val="002F04A7"/>
    <w:rsid w:val="002F25C9"/>
    <w:rsid w:val="002F6775"/>
    <w:rsid w:val="0030173F"/>
    <w:rsid w:val="003033FB"/>
    <w:rsid w:val="00303843"/>
    <w:rsid w:val="0031507D"/>
    <w:rsid w:val="0032447A"/>
    <w:rsid w:val="003266F2"/>
    <w:rsid w:val="003450AC"/>
    <w:rsid w:val="00353E8F"/>
    <w:rsid w:val="00360B14"/>
    <w:rsid w:val="00362577"/>
    <w:rsid w:val="00370D5A"/>
    <w:rsid w:val="00373247"/>
    <w:rsid w:val="00375F98"/>
    <w:rsid w:val="00375FF2"/>
    <w:rsid w:val="00376B61"/>
    <w:rsid w:val="003804A6"/>
    <w:rsid w:val="00382A66"/>
    <w:rsid w:val="0039011B"/>
    <w:rsid w:val="003D0680"/>
    <w:rsid w:val="004143EE"/>
    <w:rsid w:val="004175FA"/>
    <w:rsid w:val="00426C30"/>
    <w:rsid w:val="00440AA7"/>
    <w:rsid w:val="0045149D"/>
    <w:rsid w:val="00455378"/>
    <w:rsid w:val="00463C8D"/>
    <w:rsid w:val="0048513E"/>
    <w:rsid w:val="00487692"/>
    <w:rsid w:val="004A521E"/>
    <w:rsid w:val="004C6D06"/>
    <w:rsid w:val="004E2876"/>
    <w:rsid w:val="00503DE6"/>
    <w:rsid w:val="00510A4F"/>
    <w:rsid w:val="005153A4"/>
    <w:rsid w:val="0052579B"/>
    <w:rsid w:val="00547281"/>
    <w:rsid w:val="00582431"/>
    <w:rsid w:val="00585FE4"/>
    <w:rsid w:val="005974CE"/>
    <w:rsid w:val="005B74A4"/>
    <w:rsid w:val="005D07A3"/>
    <w:rsid w:val="005E4492"/>
    <w:rsid w:val="005F7163"/>
    <w:rsid w:val="00610586"/>
    <w:rsid w:val="00613C79"/>
    <w:rsid w:val="00627510"/>
    <w:rsid w:val="0063360B"/>
    <w:rsid w:val="00641C45"/>
    <w:rsid w:val="00647446"/>
    <w:rsid w:val="0065198F"/>
    <w:rsid w:val="00662732"/>
    <w:rsid w:val="00673FEE"/>
    <w:rsid w:val="00687077"/>
    <w:rsid w:val="00697AD1"/>
    <w:rsid w:val="006A4CF9"/>
    <w:rsid w:val="006B43EA"/>
    <w:rsid w:val="006B76BA"/>
    <w:rsid w:val="006C1910"/>
    <w:rsid w:val="006C69A2"/>
    <w:rsid w:val="006D0DE4"/>
    <w:rsid w:val="006D695E"/>
    <w:rsid w:val="006E6440"/>
    <w:rsid w:val="007325EA"/>
    <w:rsid w:val="00733EFB"/>
    <w:rsid w:val="00740AA6"/>
    <w:rsid w:val="00741CDD"/>
    <w:rsid w:val="00744BFA"/>
    <w:rsid w:val="0075031C"/>
    <w:rsid w:val="00751918"/>
    <w:rsid w:val="00757401"/>
    <w:rsid w:val="00775638"/>
    <w:rsid w:val="00776559"/>
    <w:rsid w:val="00796D19"/>
    <w:rsid w:val="007A1317"/>
    <w:rsid w:val="007A4EEB"/>
    <w:rsid w:val="007B568D"/>
    <w:rsid w:val="007C4383"/>
    <w:rsid w:val="007C4E1A"/>
    <w:rsid w:val="007E3177"/>
    <w:rsid w:val="007E40DF"/>
    <w:rsid w:val="007F05EC"/>
    <w:rsid w:val="007F0749"/>
    <w:rsid w:val="007F48E1"/>
    <w:rsid w:val="007F4F53"/>
    <w:rsid w:val="007F55D4"/>
    <w:rsid w:val="007F5707"/>
    <w:rsid w:val="007F5923"/>
    <w:rsid w:val="008015C8"/>
    <w:rsid w:val="00807147"/>
    <w:rsid w:val="00820352"/>
    <w:rsid w:val="00827909"/>
    <w:rsid w:val="00833C89"/>
    <w:rsid w:val="008569AC"/>
    <w:rsid w:val="0086051D"/>
    <w:rsid w:val="00864D20"/>
    <w:rsid w:val="00873D35"/>
    <w:rsid w:val="008A13CF"/>
    <w:rsid w:val="008A447A"/>
    <w:rsid w:val="008B0AC7"/>
    <w:rsid w:val="008B16D9"/>
    <w:rsid w:val="008B260A"/>
    <w:rsid w:val="008B2B9B"/>
    <w:rsid w:val="008B3E4F"/>
    <w:rsid w:val="008C19EC"/>
    <w:rsid w:val="008D2C94"/>
    <w:rsid w:val="008D465E"/>
    <w:rsid w:val="008E6D37"/>
    <w:rsid w:val="008F2FB5"/>
    <w:rsid w:val="008F52E0"/>
    <w:rsid w:val="00900B8E"/>
    <w:rsid w:val="00904F4F"/>
    <w:rsid w:val="0090588F"/>
    <w:rsid w:val="009226E0"/>
    <w:rsid w:val="00923FC3"/>
    <w:rsid w:val="00932ABF"/>
    <w:rsid w:val="009362FB"/>
    <w:rsid w:val="009364E4"/>
    <w:rsid w:val="009425E8"/>
    <w:rsid w:val="00956B74"/>
    <w:rsid w:val="009573BB"/>
    <w:rsid w:val="00973766"/>
    <w:rsid w:val="009A2294"/>
    <w:rsid w:val="009B5262"/>
    <w:rsid w:val="009B7B73"/>
    <w:rsid w:val="009C6AC2"/>
    <w:rsid w:val="009C7D44"/>
    <w:rsid w:val="009D18ED"/>
    <w:rsid w:val="009D7677"/>
    <w:rsid w:val="009E1B38"/>
    <w:rsid w:val="009E6672"/>
    <w:rsid w:val="00A01DD9"/>
    <w:rsid w:val="00A11068"/>
    <w:rsid w:val="00A21D95"/>
    <w:rsid w:val="00A30634"/>
    <w:rsid w:val="00A34965"/>
    <w:rsid w:val="00A4079E"/>
    <w:rsid w:val="00A410C1"/>
    <w:rsid w:val="00A55353"/>
    <w:rsid w:val="00A858CC"/>
    <w:rsid w:val="00A93A82"/>
    <w:rsid w:val="00A94E23"/>
    <w:rsid w:val="00AB4007"/>
    <w:rsid w:val="00AD0993"/>
    <w:rsid w:val="00AD2519"/>
    <w:rsid w:val="00AD2CE4"/>
    <w:rsid w:val="00AD60D9"/>
    <w:rsid w:val="00AE3BE2"/>
    <w:rsid w:val="00B042F2"/>
    <w:rsid w:val="00B1540F"/>
    <w:rsid w:val="00B2661B"/>
    <w:rsid w:val="00B340BC"/>
    <w:rsid w:val="00B34D56"/>
    <w:rsid w:val="00B41141"/>
    <w:rsid w:val="00B46DDF"/>
    <w:rsid w:val="00B5459F"/>
    <w:rsid w:val="00B85569"/>
    <w:rsid w:val="00B97929"/>
    <w:rsid w:val="00BB7EC6"/>
    <w:rsid w:val="00BD24F1"/>
    <w:rsid w:val="00BF2D56"/>
    <w:rsid w:val="00C233C6"/>
    <w:rsid w:val="00C40E6E"/>
    <w:rsid w:val="00C47BE5"/>
    <w:rsid w:val="00C538B8"/>
    <w:rsid w:val="00C63F26"/>
    <w:rsid w:val="00C73943"/>
    <w:rsid w:val="00C7504A"/>
    <w:rsid w:val="00C935BF"/>
    <w:rsid w:val="00C96FDE"/>
    <w:rsid w:val="00CB1D3D"/>
    <w:rsid w:val="00CB7790"/>
    <w:rsid w:val="00CC584A"/>
    <w:rsid w:val="00CD0F15"/>
    <w:rsid w:val="00CE1277"/>
    <w:rsid w:val="00CF66F0"/>
    <w:rsid w:val="00D20FF2"/>
    <w:rsid w:val="00D21278"/>
    <w:rsid w:val="00D25B79"/>
    <w:rsid w:val="00D3758A"/>
    <w:rsid w:val="00D4073B"/>
    <w:rsid w:val="00D567DA"/>
    <w:rsid w:val="00D56A87"/>
    <w:rsid w:val="00D57F1C"/>
    <w:rsid w:val="00D74EAA"/>
    <w:rsid w:val="00D8029A"/>
    <w:rsid w:val="00D83271"/>
    <w:rsid w:val="00D859EC"/>
    <w:rsid w:val="00D943CA"/>
    <w:rsid w:val="00DB3C59"/>
    <w:rsid w:val="00DB79ED"/>
    <w:rsid w:val="00DE5E97"/>
    <w:rsid w:val="00DF3EFA"/>
    <w:rsid w:val="00DF5F6B"/>
    <w:rsid w:val="00E02A69"/>
    <w:rsid w:val="00E07E6F"/>
    <w:rsid w:val="00E4372C"/>
    <w:rsid w:val="00E47A10"/>
    <w:rsid w:val="00E47B88"/>
    <w:rsid w:val="00E569D1"/>
    <w:rsid w:val="00E64F7B"/>
    <w:rsid w:val="00E71E6C"/>
    <w:rsid w:val="00E92AAC"/>
    <w:rsid w:val="00EA2EC6"/>
    <w:rsid w:val="00EA7CF3"/>
    <w:rsid w:val="00EB3938"/>
    <w:rsid w:val="00EB7DA4"/>
    <w:rsid w:val="00EC5335"/>
    <w:rsid w:val="00ED4652"/>
    <w:rsid w:val="00EE0542"/>
    <w:rsid w:val="00EE12D9"/>
    <w:rsid w:val="00EE37EA"/>
    <w:rsid w:val="00EE75D4"/>
    <w:rsid w:val="00EF16E1"/>
    <w:rsid w:val="00EF3912"/>
    <w:rsid w:val="00F13087"/>
    <w:rsid w:val="00F22CA0"/>
    <w:rsid w:val="00F25CA0"/>
    <w:rsid w:val="00F32ED8"/>
    <w:rsid w:val="00F347BD"/>
    <w:rsid w:val="00F435C6"/>
    <w:rsid w:val="00F526CC"/>
    <w:rsid w:val="00F57B56"/>
    <w:rsid w:val="00F66160"/>
    <w:rsid w:val="00F836DE"/>
    <w:rsid w:val="00F86CC4"/>
    <w:rsid w:val="00F87096"/>
    <w:rsid w:val="00F95494"/>
    <w:rsid w:val="00F9551D"/>
    <w:rsid w:val="00F96EA2"/>
    <w:rsid w:val="00FE5353"/>
    <w:rsid w:val="00FE5766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396E33A"/>
  <w15:docId w15:val="{6E10CB72-19DF-45D9-9102-702FA8A1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929"/>
    <w:pPr>
      <w:jc w:val="both"/>
    </w:pPr>
    <w:rPr>
      <w:rFonts w:ascii="Arial" w:hAnsi="Arial"/>
      <w:lang w:eastAsia="en-US"/>
    </w:rPr>
  </w:style>
  <w:style w:type="paragraph" w:styleId="Heading1">
    <w:name w:val="heading 1"/>
    <w:next w:val="BodyText"/>
    <w:link w:val="Heading1Char"/>
    <w:qFormat/>
    <w:rsid w:val="00EE12D9"/>
    <w:pPr>
      <w:keepNext/>
      <w:numPr>
        <w:numId w:val="20"/>
      </w:numPr>
      <w:pBdr>
        <w:bottom w:val="single" w:sz="4" w:space="1" w:color="auto"/>
      </w:pBdr>
      <w:tabs>
        <w:tab w:val="clear" w:pos="567"/>
      </w:tabs>
      <w:spacing w:before="600" w:after="240"/>
      <w:ind w:left="709" w:hanging="709"/>
      <w:outlineLvl w:val="0"/>
    </w:pPr>
    <w:rPr>
      <w:rFonts w:ascii="Arial" w:hAnsi="Arial"/>
      <w:b/>
      <w:caps/>
      <w:kern w:val="28"/>
      <w:sz w:val="22"/>
      <w:lang w:eastAsia="en-US"/>
    </w:rPr>
  </w:style>
  <w:style w:type="paragraph" w:styleId="Heading2">
    <w:name w:val="heading 2"/>
    <w:next w:val="BodyText"/>
    <w:autoRedefine/>
    <w:qFormat/>
    <w:rsid w:val="007C4E1A"/>
    <w:pPr>
      <w:keepNext/>
      <w:numPr>
        <w:ilvl w:val="1"/>
        <w:numId w:val="20"/>
      </w:numPr>
      <w:tabs>
        <w:tab w:val="clear" w:pos="4971"/>
      </w:tabs>
      <w:spacing w:before="360" w:after="120"/>
      <w:ind w:left="562" w:hanging="562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basedOn w:val="Normal"/>
    <w:next w:val="BodyText1"/>
    <w:qFormat/>
    <w:rsid w:val="00B97929"/>
    <w:pPr>
      <w:keepNext/>
      <w:numPr>
        <w:ilvl w:val="2"/>
        <w:numId w:val="20"/>
      </w:numPr>
      <w:tabs>
        <w:tab w:val="clear" w:pos="720"/>
      </w:tabs>
      <w:spacing w:before="360" w:after="120"/>
      <w:ind w:left="709" w:hanging="709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semiHidden/>
    <w:unhideWhenUsed/>
    <w:qFormat/>
    <w:rsid w:val="00904F4F"/>
    <w:pPr>
      <w:keepNext/>
      <w:numPr>
        <w:ilvl w:val="3"/>
        <w:numId w:val="20"/>
      </w:numPr>
      <w:spacing w:before="240" w:after="240"/>
      <w:jc w:val="left"/>
      <w:outlineLvl w:val="3"/>
    </w:pPr>
    <w:rPr>
      <w:rFonts w:cs="Arial"/>
      <w:b/>
      <w:bCs/>
      <w:caps/>
    </w:rPr>
  </w:style>
  <w:style w:type="paragraph" w:styleId="Heading5">
    <w:name w:val="heading 5"/>
    <w:basedOn w:val="Normal"/>
    <w:next w:val="Normal"/>
    <w:semiHidden/>
    <w:unhideWhenUsed/>
    <w:qFormat/>
    <w:rsid w:val="00904F4F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unhideWhenUsed/>
    <w:qFormat/>
    <w:rsid w:val="00904F4F"/>
    <w:pPr>
      <w:numPr>
        <w:ilvl w:val="5"/>
        <w:numId w:val="20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unhideWhenUsed/>
    <w:qFormat/>
    <w:rsid w:val="00904F4F"/>
    <w:pPr>
      <w:numPr>
        <w:ilvl w:val="6"/>
        <w:numId w:val="20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semiHidden/>
    <w:unhideWhenUsed/>
    <w:qFormat/>
    <w:rsid w:val="00904F4F"/>
    <w:pPr>
      <w:numPr>
        <w:ilvl w:val="7"/>
        <w:numId w:val="20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semiHidden/>
    <w:unhideWhenUsed/>
    <w:qFormat/>
    <w:rsid w:val="00904F4F"/>
    <w:pPr>
      <w:numPr>
        <w:ilvl w:val="8"/>
        <w:numId w:val="20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04F4F"/>
    <w:pPr>
      <w:pBdr>
        <w:top w:val="single" w:sz="4" w:space="1" w:color="auto"/>
      </w:pBdr>
      <w:tabs>
        <w:tab w:val="right" w:pos="9639"/>
      </w:tabs>
    </w:pPr>
    <w:rPr>
      <w:sz w:val="16"/>
    </w:rPr>
  </w:style>
  <w:style w:type="character" w:styleId="PageNumber">
    <w:name w:val="page number"/>
    <w:basedOn w:val="DefaultParagraphFont"/>
    <w:semiHidden/>
    <w:rsid w:val="00904F4F"/>
    <w:rPr>
      <w:rFonts w:ascii="Arial" w:hAnsi="Arial"/>
      <w:sz w:val="16"/>
    </w:rPr>
  </w:style>
  <w:style w:type="paragraph" w:customStyle="1" w:styleId="Bullet1">
    <w:name w:val="Bullet 1"/>
    <w:basedOn w:val="Normal"/>
    <w:qFormat/>
    <w:rsid w:val="007E3177"/>
    <w:pPr>
      <w:numPr>
        <w:numId w:val="40"/>
      </w:numPr>
      <w:spacing w:before="60" w:after="60"/>
    </w:pPr>
  </w:style>
  <w:style w:type="character" w:customStyle="1" w:styleId="Heading1Char">
    <w:name w:val="Heading 1 Char"/>
    <w:basedOn w:val="DefaultParagraphFont"/>
    <w:link w:val="Heading1"/>
    <w:rsid w:val="00EE12D9"/>
    <w:rPr>
      <w:rFonts w:ascii="Arial" w:hAnsi="Arial"/>
      <w:b/>
      <w:caps/>
      <w:kern w:val="28"/>
      <w:sz w:val="22"/>
      <w:lang w:eastAsia="en-US"/>
    </w:rPr>
  </w:style>
  <w:style w:type="paragraph" w:styleId="Header">
    <w:name w:val="header"/>
    <w:basedOn w:val="Normal"/>
    <w:link w:val="HeaderChar"/>
    <w:semiHidden/>
    <w:rsid w:val="00904F4F"/>
    <w:pPr>
      <w:tabs>
        <w:tab w:val="center" w:pos="4153"/>
        <w:tab w:val="right" w:pos="8306"/>
      </w:tabs>
    </w:pPr>
  </w:style>
  <w:style w:type="paragraph" w:customStyle="1" w:styleId="BodyText1">
    <w:name w:val="Body Text 1"/>
    <w:basedOn w:val="Heading2"/>
    <w:semiHidden/>
    <w:rsid w:val="00904F4F"/>
    <w:pPr>
      <w:keepNext w:val="0"/>
      <w:numPr>
        <w:ilvl w:val="0"/>
        <w:numId w:val="0"/>
      </w:numPr>
      <w:spacing w:before="0" w:after="0"/>
      <w:ind w:left="709"/>
    </w:pPr>
    <w:rPr>
      <w:rFonts w:ascii="Garamond" w:hAnsi="Garamond"/>
      <w:b w:val="0"/>
      <w:sz w:val="24"/>
    </w:rPr>
  </w:style>
  <w:style w:type="paragraph" w:customStyle="1" w:styleId="Bullet2">
    <w:name w:val="Bullet 2"/>
    <w:basedOn w:val="Bullet1"/>
    <w:qFormat/>
    <w:rsid w:val="00904F4F"/>
    <w:pPr>
      <w:numPr>
        <w:numId w:val="21"/>
      </w:numPr>
      <w:tabs>
        <w:tab w:val="clear" w:pos="2628"/>
      </w:tabs>
      <w:spacing w:before="0" w:after="0"/>
      <w:ind w:left="1418"/>
    </w:pPr>
  </w:style>
  <w:style w:type="paragraph" w:styleId="BodyText">
    <w:name w:val="Body Text"/>
    <w:basedOn w:val="Normal"/>
    <w:qFormat/>
    <w:rsid w:val="00B97929"/>
    <w:pPr>
      <w:spacing w:before="120" w:after="120"/>
      <w:ind w:left="709"/>
    </w:pPr>
  </w:style>
  <w:style w:type="paragraph" w:customStyle="1" w:styleId="Sub-heading">
    <w:name w:val="Sub-heading"/>
    <w:basedOn w:val="BodyText1"/>
    <w:qFormat/>
    <w:rsid w:val="00B97929"/>
    <w:pPr>
      <w:spacing w:before="120" w:after="60"/>
    </w:pPr>
    <w:rPr>
      <w:rFonts w:ascii="Arial" w:hAnsi="Arial"/>
      <w:i/>
      <w:sz w:val="20"/>
      <w:u w:val="single"/>
    </w:rPr>
  </w:style>
  <w:style w:type="paragraph" w:customStyle="1" w:styleId="TableText">
    <w:name w:val="Table Text"/>
    <w:basedOn w:val="Normal"/>
    <w:qFormat/>
    <w:rsid w:val="009E1B38"/>
    <w:pPr>
      <w:spacing w:before="60" w:after="60"/>
    </w:pPr>
    <w:rPr>
      <w:sz w:val="18"/>
    </w:rPr>
  </w:style>
  <w:style w:type="paragraph" w:styleId="BalloonText">
    <w:name w:val="Balloon Text"/>
    <w:basedOn w:val="Normal"/>
    <w:link w:val="BalloonTextChar"/>
    <w:rsid w:val="00833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C8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F4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DE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D0680"/>
    <w:rPr>
      <w:rFonts w:ascii="Arial" w:hAnsi="Arial"/>
      <w:sz w:val="16"/>
      <w:lang w:eastAsia="en-US"/>
    </w:rPr>
  </w:style>
  <w:style w:type="character" w:customStyle="1" w:styleId="HeaderChar">
    <w:name w:val="Header Char"/>
    <w:link w:val="Header"/>
    <w:semiHidden/>
    <w:rsid w:val="00D56A87"/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A8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ractice%20Support%20&amp;%20Coordination\HPV%20School%20Programme\Foundation%20Standards\Foundation%20Standard%20Policy%20Template%20-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Pri13</b:Tag>
    <b:SourceType>InternetSite</b:SourceType>
    <b:Guid>{98BBA9C7-7A42-482B-9770-9724D8DDFD49}</b:Guid>
    <b:Title>Information Privacy Principles</b:Title>
    <b:Year>2013</b:Year>
    <b:Author>
      <b:Author>
        <b:Corporate>Privacy Commissioner</b:Corporate>
      </b:Author>
    </b:Author>
    <b:InternetSiteTitle>Privacy Commissioner</b:InternetSiteTitle>
    <b:URL>http://www.privacy.org.nz</b:URL>
    <b:RefOrder>1</b:RefOrder>
  </b:Source>
  <b:Source>
    <b:Tag>Hea09</b:Tag>
    <b:SourceType>DocumentFromInternetSite</b:SourceType>
    <b:Guid>{6F730212-E091-4129-AE02-502A4709842E}</b:Guid>
    <b:Title>The HDC Code of Health and Disability Services Consumers' Rights Regulation 1996</b:Title>
    <b:InternetSiteTitle>Health and Disability Commissioner</b:InternetSiteTitle>
    <b:Year>2009</b:Year>
    <b:URL>http://www.hdc.org.nz/the-act--code/the-code-of-rights/the-code-(full)</b:URL>
    <b:Author>
      <b:Author>
        <b:Corporate>Health and Disability Commissioner</b:Corporate>
      </b:Author>
    </b:Autho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c2241c58-dd94-41c5-bee5-9bff8e3faa9b">Addresses criteria 2.1 of The Standard</Notes0>
    <IconOverlay xmlns="http://schemas.microsoft.com/sharepoint/v4" xsi:nil="true"/>
    <Foundation_Standards_Nav xmlns="ae9f4827-48c6-4900-9195-c9b1a90f3892">20_Resources_SamplePolicyTemplates</Foundation_Standards_Nav>
    <Reference_x0020_Material_x0020_Category xmlns="c2241c58-dd94-41c5-bee5-9bff8e3faa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9DF9AD82BB5478B05C18081BF4148" ma:contentTypeVersion="4" ma:contentTypeDescription="Create a new document." ma:contentTypeScope="" ma:versionID="3ac8ce81f0184319586e631ac1091d55">
  <xsd:schema xmlns:xsd="http://www.w3.org/2001/XMLSchema" xmlns:xs="http://www.w3.org/2001/XMLSchema" xmlns:p="http://schemas.microsoft.com/office/2006/metadata/properties" xmlns:ns2="ae9f4827-48c6-4900-9195-c9b1a90f3892" xmlns:ns3="c2241c58-dd94-41c5-bee5-9bff8e3faa9b" xmlns:ns4="http://schemas.microsoft.com/sharepoint/v4" targetNamespace="http://schemas.microsoft.com/office/2006/metadata/properties" ma:root="true" ma:fieldsID="56f915f1319411bbab26bf36d9fc0e85" ns2:_="" ns3:_="" ns4:_="">
    <xsd:import namespace="ae9f4827-48c6-4900-9195-c9b1a90f3892"/>
    <xsd:import namespace="c2241c58-dd94-41c5-bee5-9bff8e3faa9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oundation_Standards_Nav" minOccurs="0"/>
                <xsd:element ref="ns3:Notes0" minOccurs="0"/>
                <xsd:element ref="ns4:IconOverlay" minOccurs="0"/>
                <xsd:element ref="ns3:Reference_x0020_Material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f4827-48c6-4900-9195-c9b1a90f3892" elementFormDefault="qualified">
    <xsd:import namespace="http://schemas.microsoft.com/office/2006/documentManagement/types"/>
    <xsd:import namespace="http://schemas.microsoft.com/office/infopath/2007/PartnerControls"/>
    <xsd:element name="Foundation_Standards_Nav" ma:index="8" nillable="true" ma:displayName="Foundation_Standards_Nav" ma:format="Dropdown" ma:internalName="Foundation_Standards_Nav">
      <xsd:simpleType>
        <xsd:restriction base="dms:Choice">
          <xsd:enumeration value="00_Tab1"/>
          <xsd:enumeration value="10_Overview"/>
          <xsd:enumeration value="20_Resources_TheStandard"/>
          <xsd:enumeration value="20_Resources_SamplePolicyTemplates"/>
          <xsd:enumeration value="20_Resources_FormsandChecklists"/>
          <xsd:enumeration value="20_Resources_SampleGuidelines"/>
          <xsd:enumeration value="20_Resources_ReferenceMaterial"/>
          <xsd:enumeration value="20_Resources_VulnerableChildrensAct"/>
          <xsd:enumeration value="30_Support"/>
          <xsd:enumeration value="40_FAQs_and_TipBits"/>
          <xsd:enumeration value="50_DiscussionBoa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41c58-dd94-41c5-bee5-9bff8e3faa9b" elementFormDefault="qualified">
    <xsd:import namespace="http://schemas.microsoft.com/office/2006/documentManagement/types"/>
    <xsd:import namespace="http://schemas.microsoft.com/office/infopath/2007/PartnerControls"/>
    <xsd:element name="Notes0" ma:index="9" nillable="true" ma:displayName="Notes" ma:description="Add a note to help the user identify what the document contains." ma:internalName="Notes0">
      <xsd:simpleType>
        <xsd:restriction base="dms:Note"/>
      </xsd:simpleType>
    </xsd:element>
    <xsd:element name="Reference_x0020_Material_x0020_Category" ma:index="11" nillable="true" ma:displayName="Reference Material Category" ma:format="Dropdown" ma:internalName="Reference_x0020_Material_x0020_Category">
      <xsd:simpleType>
        <xsd:union memberTypes="dms:Text">
          <xsd:simpleType>
            <xsd:restriction base="dms:Choice">
              <xsd:enumeration value="Contributes toward achieving FS criteria 1.3"/>
              <xsd:enumeration value="FS criteria 18.1"/>
              <xsd:enumeration value="Indicator 1 - Code of Patient Rights"/>
              <xsd:enumeration value="Provides clarity around timeframes for managing and responding to complaints"/>
              <xsd:enumeration value="Support for Health and Safety"/>
              <xsd:enumeration value="Support for Privacy Act requirement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2B97A-730D-4C5E-9415-48189D1186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6AE4D5-E999-4353-9CB9-810B8D43323B}">
  <ds:schemaRefs>
    <ds:schemaRef ds:uri="http://schemas.microsoft.com/office/2006/metadata/properties"/>
    <ds:schemaRef ds:uri="http://schemas.microsoft.com/office/infopath/2007/PartnerControls"/>
    <ds:schemaRef ds:uri="c2241c58-dd94-41c5-bee5-9bff8e3faa9b"/>
    <ds:schemaRef ds:uri="http://schemas.microsoft.com/sharepoint/v4"/>
    <ds:schemaRef ds:uri="ae9f4827-48c6-4900-9195-c9b1a90f3892"/>
  </ds:schemaRefs>
</ds:datastoreItem>
</file>

<file path=customXml/itemProps3.xml><?xml version="1.0" encoding="utf-8"?>
<ds:datastoreItem xmlns:ds="http://schemas.openxmlformats.org/officeDocument/2006/customXml" ds:itemID="{5638A72C-E02F-48BB-854C-FA96BAFAD8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BA6568-E7A6-417E-96C1-D8580AAB0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f4827-48c6-4900-9195-c9b1a90f3892"/>
    <ds:schemaRef ds:uri="c2241c58-dd94-41c5-bee5-9bff8e3faa9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Foundation Standard Policy Template - Master</Template>
  <TotalTime>25</TotalTime>
  <Pages>3</Pages>
  <Words>1213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Policy</vt:lpstr>
    </vt:vector>
  </TitlesOfParts>
  <Company>Pegasus Health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Policy</dc:title>
  <dc:creator>dianeb</dc:creator>
  <cp:lastModifiedBy>Marina Chin</cp:lastModifiedBy>
  <cp:revision>5</cp:revision>
  <cp:lastPrinted>2014-07-22T23:07:00Z</cp:lastPrinted>
  <dcterms:created xsi:type="dcterms:W3CDTF">2020-12-05T02:27:00Z</dcterms:created>
  <dcterms:modified xsi:type="dcterms:W3CDTF">2020-12-19T03:32:00Z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0x0101008C39DF9AD82BB5478B05C18081BF4148</vt:lpwstr>
  </property>
  <property fmtid="{D5CDD505-2E9C-101B-9397-08002B2CF9AE}" pid="3" name="Order">
    <vt:r8>3900</vt:r8>
  </property>
  <property fmtid="{D5CDD505-2E9C-101B-9397-08002B2CF9AE}" pid="4" name="PegAudience">
    <vt:lpwstr>1;#All Employees|0bba7b51-ce83-44c3-a08f-6dd7db76b0b8</vt:lpwstr>
  </property>
</Properties>
</file>